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360" w:after="1280"/>
        <w:jc w:val="left"/>
      </w:pPr>
      <w:r>
        <w:drawing>
          <wp:inline xmlns:a="http://schemas.openxmlformats.org/drawingml/2006/main" xmlns:pic="http://schemas.openxmlformats.org/drawingml/2006/picture">
            <wp:extent cx="1800000" cy="416053"/>
            <wp:docPr id="12" name="Picture 12"/>
            <wp:cNvGraphicFramePr>
              <a:graphicFrameLocks noChangeAspect="1"/>
            </wp:cNvGraphicFramePr>
            <a:graphic>
              <a:graphicData uri="http://schemas.openxmlformats.org/drawingml/2006/picture">
                <pic:pic>
                  <pic:nvPicPr>
                    <pic:cNvPr id="0" name="greenstone-wordmark-light.png"/>
                    <pic:cNvPicPr/>
                  </pic:nvPicPr>
                  <pic:blipFill>
                    <a:blip r:embed="rId78"/>
                    <a:stretch>
                      <a:fillRect/>
                    </a:stretch>
                  </pic:blipFill>
                  <pic:spPr>
                    <a:xfrm>
                      <a:off x="0" y="0"/>
                      <a:ext cx="1800000" cy="416053"/>
                    </a:xfrm>
                    <a:prstGeom prst="rect"/>
                  </pic:spPr>
                </pic:pic>
              </a:graphicData>
            </a:graphic>
          </wp:inline>
        </w:drawing>
      </w:r>
    </w:p>
    <w:p>
      <w:pPr>
        <w:spacing w:before="600" w:after="440"/>
        <w:jc w:val="center"/>
      </w:pPr>
      <w:commentRangeStart w:id="180"/>
      <w:r>
        <w:rPr>
          <w:rFonts w:ascii="宋体" w:hAnsi="宋体" w:eastAsia="宋体"/>
          <w:b/>
          <w:color w:val="000000"/>
          <w:sz w:val="44"/>
        </w:rPr>
        <w:t>晟原精密电子股份有限公司</w:t>
      </w:r>
      <w:commentRangeEnd w:id="180"/>
      <w:r>
        <w:rPr>
          <w:rStyle w:val="CommentReference"/>
        </w:rPr>
        <w:commentReference w:id="180"/>
      </w:r>
    </w:p>
    <w:p>
      <w:pPr>
        <w:spacing w:after="240"/>
        <w:jc w:val="center"/>
      </w:pPr>
      <w:r>
        <w:rPr>
          <w:rFonts w:ascii="宋体" w:hAnsi="宋体" w:eastAsia="宋体"/>
          <w:b/>
          <w:color w:val="000000"/>
          <w:sz w:val="56"/>
        </w:rPr>
        <w:t>可持续发展报告</w:t>
      </w:r>
    </w:p>
    <w:p>
      <w:pPr>
        <w:spacing w:after="0"/>
        <w:jc w:val="center"/>
      </w:pPr>
      <w:r>
        <w:rPr>
          <w:rFonts w:ascii="宋体" w:hAnsi="宋体" w:eastAsia="宋体"/>
          <w:color w:val="595959"/>
          <w:sz w:val="26"/>
        </w:rPr>
        <w:t>2025年度</w:t>
      </w:r>
    </w:p>
    <w:p>
      <w:pPr>
        <w:spacing w:before="360"/>
        <w:jc w:val="center"/>
      </w:pPr>
      <w:r>
        <w:rPr>
          <w:rFonts w:ascii="宋体" w:hAnsi="宋体" w:eastAsia="宋体"/>
          <w:color w:val="595959"/>
          <w:sz w:val="20"/>
        </w:rPr>
        <w:t>本报告含人工智能生成合成内容</w:t>
      </w:r>
    </w:p>
    <w:p>
      <w:pPr>
        <w:jc w:val="center"/>
      </w:pPr>
      <w:r>
        <w:br w:type="page"/>
      </w:r>
    </w:p>
    <w:p>
      <w:pPr>
        <w:spacing w:before="0" w:after="200" w:line="240" w:lineRule="auto"/>
      </w:pPr>
      <w:r>
        <w:rPr>
          <w:rFonts w:ascii="宋体" w:hAnsi="宋体" w:eastAsia="宋体"/>
          <w:b/>
          <w:sz w:val="36"/>
        </w:rPr>
        <w:t>资料处理说明</w:t>
      </w:r>
    </w:p>
    <w:p>
      <w:pPr>
        <w:spacing w:before="0" w:after="320" w:line="240" w:lineRule="auto"/>
      </w:pPr>
      <w:r>
        <w:rPr>
          <w:rFonts w:ascii="宋体" w:hAnsi="宋体" w:eastAsia="宋体"/>
          <w:b w:val="0"/>
          <w:color w:val="595959"/>
          <w:sz w:val="21"/>
        </w:rPr>
        <w:t>本页说明系统对用户所提供资料的处理情况，供定稿前参考。本页不属于报告正文，正式报告不包含本页。</w:t>
      </w:r>
    </w:p>
    <w:p>
      <w:pPr>
        <w:keepNext/>
        <w:spacing w:before="280" w:after="120" w:line="240" w:lineRule="auto"/>
      </w:pPr>
      <w:r>
        <w:rPr>
          <w:rFonts w:ascii="宋体" w:hAnsi="宋体" w:eastAsia="宋体"/>
          <w:b/>
          <w:sz w:val="24"/>
        </w:rPr>
        <w:t>资料核对事项</w:t>
      </w:r>
    </w:p>
    <w:p>
      <w:pPr>
        <w:keepNext/>
        <w:spacing w:before="0" w:after="80" w:line="240" w:lineRule="auto"/>
      </w:pPr>
      <w:r>
        <w:rPr>
          <w:rFonts w:ascii="宋体" w:hAnsi="宋体" w:eastAsia="宋体"/>
          <w:b w:val="0"/>
          <w:color w:val="595959"/>
          <w:sz w:val="21"/>
        </w:rPr>
        <w:t>以下事项来自对用户所提供资料的自动核对，按来源文件列出，供定稿前留意。</w:t>
      </w:r>
    </w:p>
    <w:p>
      <w:pPr>
        <w:spacing w:before="200" w:after="120" w:line="240" w:lineRule="auto"/>
      </w:pPr>
      <w:r>
        <w:rPr>
          <w:rFonts w:ascii="宋体" w:hAnsi="宋体" w:eastAsia="宋体"/>
          <w:b/>
          <w:sz w:val="21"/>
        </w:rPr>
        <w:t>能源管理办法.docx</w:t>
      </w:r>
    </w:p>
    <w:p>
      <w:pPr>
        <w:spacing w:before="0" w:after="80" w:line="240" w:lineRule="auto"/>
      </w:pPr>
      <w:r>
        <w:rPr>
          <w:rFonts w:ascii="宋体" w:hAnsi="宋体" w:eastAsia="宋体"/>
          <w:b w:val="0"/>
          <w:sz w:val="21"/>
        </w:rPr>
        <w:t>1. 文件中第六章记载"2025年实际：培训人次180+，覆盖率≥86%"，但该制度发布日期为2024年11月，此数据可能为年度目标而非实际完成数据，建议核实2025年度实际培训完成情况。</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核实2025年度能源培训实际完成人次和覆盖率数据</w:t>
      </w:r>
    </w:p>
    <w:p>
      <w:pPr>
        <w:spacing w:before="0" w:after="80" w:line="240" w:lineRule="auto"/>
      </w:pPr>
      <w:r>
        <w:rPr>
          <w:rFonts w:ascii="宋体" w:hAnsi="宋体" w:eastAsia="宋体"/>
          <w:b w:val="0"/>
          <w:sz w:val="21"/>
        </w:rPr>
        <w:t>2. 文件记载"2025年下半年启动能源管理系统（EMS）试点"为计划项目，需确认该试点是否已按计划启动实施。</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确认EMS试点项目2025年实际推进状态</w:t>
      </w:r>
    </w:p>
    <w:p>
      <w:pPr>
        <w:spacing w:before="200" w:after="120" w:line="240" w:lineRule="auto"/>
      </w:pPr>
      <w:r>
        <w:rPr>
          <w:rFonts w:ascii="宋体" w:hAnsi="宋体" w:eastAsia="宋体"/>
          <w:b/>
          <w:sz w:val="21"/>
        </w:rPr>
        <w:t>2025年度废弃物与水资源台账.docx</w:t>
      </w:r>
    </w:p>
    <w:p>
      <w:pPr>
        <w:spacing w:before="0" w:after="80" w:line="240" w:lineRule="auto"/>
      </w:pPr>
      <w:r>
        <w:rPr>
          <w:rFonts w:ascii="宋体" w:hAnsi="宋体" w:eastAsia="宋体"/>
          <w:b w:val="0"/>
          <w:sz w:val="21"/>
        </w:rPr>
        <w:t>1. 年度汇总表显示一般工业固废产生量为39.4t，但废弃物类型明细中一般固废小计仅18.0t（金属15.0+有色2.0+纸质1.0），其余21.4t未列明具体类型。同时，月度一般工业固废统计表中各分类月产量加总约9.59t，与年度39.4t存在较大差异（月度小计列全部显示为0.00）。该数据口径不一致可能影响报告中废弃物数据的准确引用。</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建议核实一般工业固废39.4t的完整分类构成，确认月度统计表是否遗漏部分废弃物类型或存在统计口径差异。</w:t>
      </w:r>
    </w:p>
    <w:p>
      <w:pPr>
        <w:spacing w:before="0" w:after="80" w:line="240" w:lineRule="auto"/>
      </w:pPr>
      <w:r>
        <w:rPr>
          <w:rFonts w:ascii="宋体" w:hAnsi="宋体" w:eastAsia="宋体"/>
          <w:b w:val="0"/>
          <w:sz w:val="21"/>
        </w:rPr>
        <w:t>2. 危险废弃物处置明细中的处置单位名称（苏州华源环保有限公司、常州绿源固废处置有限公司）在文件中标注为*虚构企业用于示例。若报告需引用实际处置单位信息，需确认真实委托单位及其资质。</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如报告需披露危废处置单位具体名称，需向EHS部确认实际委托单位及其危险废弃物经营许可证有效性。</w:t>
      </w:r>
    </w:p>
    <w:p>
      <w:pPr>
        <w:spacing w:before="0" w:after="80" w:line="240" w:lineRule="auto"/>
      </w:pPr>
      <w:r>
        <w:rPr>
          <w:rFonts w:ascii="宋体" w:hAnsi="宋体" w:eastAsia="宋体"/>
          <w:b w:val="0"/>
          <w:sz w:val="21"/>
        </w:rPr>
        <w:t>3. 用水强度计算存在表述疑义：文件标注用水强度为0.59吨/百万营业收入，但年度取水总量12,500m³（即12,500吨）除以营业收入6.5亿元（650百万），结果约为19.2吨/百万营业收入，与0.59差异较大。若0.59单位为'吨水/万元营业收入'则12,500/65,000≈0.19，仍不匹配。需确认计算口径。</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建议向EHS部或后勤部确认用水强度的计算公式和单位定义，确保报告引用数据准确。</w:t>
      </w:r>
    </w:p>
    <w:p>
      <w:pPr>
        <w:spacing w:before="200" w:after="120" w:line="240" w:lineRule="auto"/>
      </w:pPr>
      <w:r>
        <w:rPr>
          <w:rFonts w:ascii="宋体" w:hAnsi="宋体" w:eastAsia="宋体"/>
          <w:b/>
          <w:sz w:val="21"/>
        </w:rPr>
        <w:t>职业健康安全管理制度.docx</w:t>
      </w:r>
    </w:p>
    <w:p>
      <w:pPr>
        <w:spacing w:before="0" w:after="80" w:line="240" w:lineRule="auto"/>
      </w:pPr>
      <w:r>
        <w:rPr>
          <w:rFonts w:ascii="宋体" w:hAnsi="宋体" w:eastAsia="宋体"/>
          <w:b w:val="0"/>
          <w:sz w:val="21"/>
        </w:rPr>
        <w:t>1. 该文件为职业健康安全管理制度（SY-HR-002，B版），属于制度性文件，规定了公司职业健康安全管理的框架、标准和要求。制度自2024年9月起生效，在2025年度报告期内有效。但制度本身不等同于实际执行绩效，报告中如需描述实际培训覆盖率、事故率、体检完成率等绩效数据，需要补充实际执行记录或统计数据。</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在报告生成时，应明确区分制度要求与实际执行情况。如需报告实际绩效指标（如培训覆盖率、工伤事故率、职业健康体检完成率等），需要补充2025年度的实际执行数据。</w:t>
      </w:r>
    </w:p>
    <w:p>
      <w:pPr>
        <w:spacing w:before="200" w:after="120" w:line="240" w:lineRule="auto"/>
      </w:pPr>
      <w:r>
        <w:rPr>
          <w:rFonts w:ascii="宋体" w:hAnsi="宋体" w:eastAsia="宋体"/>
          <w:b/>
          <w:sz w:val="21"/>
        </w:rPr>
        <w:t>2025年度可持续发展委员会会议纪要.docx</w:t>
      </w:r>
    </w:p>
    <w:p>
      <w:pPr>
        <w:spacing w:before="0" w:after="80" w:line="240" w:lineRule="auto"/>
      </w:pPr>
      <w:r>
        <w:rPr>
          <w:rFonts w:ascii="宋体" w:hAnsi="宋体" w:eastAsia="宋体"/>
          <w:b w:val="0"/>
          <w:sz w:val="21"/>
        </w:rPr>
        <w:t>1. 会议纪要中廉洁培训年度总结记录为4场次共128人次，但各场次参加人数分别为220人、180人、210人、80人次，合计远高于128。128人次可能为特定岗位或核心人员的统计口径，与各场次全员参加人数属于不同统计维度。报告引用时需明确口径，避免数据矛盾。</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在报告中使用廉洁培训数据时，应分别注明全年4场次廉洁培训及各场次参加人数，或向企业确认128人次的具体统计口径后再统一引用。</w:t>
      </w:r>
    </w:p>
    <w:p>
      <w:pPr>
        <w:spacing w:before="0" w:after="80" w:line="240" w:lineRule="auto"/>
      </w:pPr>
      <w:r>
        <w:rPr>
          <w:rFonts w:ascii="宋体" w:hAnsi="宋体" w:eastAsia="宋体"/>
          <w:b w:val="0"/>
          <w:sz w:val="21"/>
        </w:rPr>
        <w:t>2. 会议纪要明确记录范围三排放数据口径尚未纳入，标注为在建，2026年计划启动范围三排放数据口径研究。当前无法提供范围三排放数据。</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报告中范围三排放应如实标注为尚未纳入披露、数据口径研究中，不得估算或填充数据。</w:t>
      </w:r>
    </w:p>
    <w:p>
      <w:pPr>
        <w:spacing w:before="200" w:after="120" w:line="240" w:lineRule="auto"/>
      </w:pPr>
      <w:r>
        <w:rPr>
          <w:rFonts w:ascii="宋体" w:hAnsi="宋体" w:eastAsia="宋体"/>
          <w:b/>
          <w:sz w:val="21"/>
        </w:rPr>
        <w:t>反商业贿赂与廉洁从业规定.docx</w:t>
      </w:r>
    </w:p>
    <w:p>
      <w:pPr>
        <w:spacing w:before="0" w:after="80" w:line="240" w:lineRule="auto"/>
      </w:pPr>
      <w:r>
        <w:rPr>
          <w:rFonts w:ascii="宋体" w:hAnsi="宋体" w:eastAsia="宋体"/>
          <w:b w:val="0"/>
          <w:sz w:val="21"/>
        </w:rPr>
        <w:t>1. 该文件为制度文件（B 版，2025 年 4 月修订），描述的是制度要求与 2025 年度培训计划。培训覆盖率 80% 为目标值而非实际达成数据，培训计划为安排而非已完成事实。</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在报告中使用该资料时，应明确表述为"公司制定了《反商业贿赂与廉洁从业规定》""计划开展培训""目标覆盖率为 80%"等制度与计划层面的表述，避免表述为已实施事实或已达成数据。</w:t>
      </w:r>
    </w:p>
    <w:p>
      <w:pPr>
        <w:spacing w:before="0" w:after="80" w:line="240" w:lineRule="auto"/>
      </w:pPr>
      <w:r>
        <w:rPr>
          <w:rFonts w:ascii="宋体" w:hAnsi="宋体" w:eastAsia="宋体"/>
          <w:b w:val="0"/>
          <w:sz w:val="21"/>
        </w:rPr>
        <w:t>2. 文件中举报邮箱为 compliance@example-shengyuan.com，域名含 "example" 字样，可能为示例地址或占位符。</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建议核实该邮箱是否为实际使用的举报渠道，或在报告中以"公司设立廉洁举报邮箱"等方式概括表述，避免直接引用可能不准确的邮箱地址。</w:t>
      </w:r>
    </w:p>
    <w:p>
      <w:pPr>
        <w:spacing w:before="200" w:after="120" w:line="240" w:lineRule="auto"/>
      </w:pPr>
      <w:r>
        <w:rPr>
          <w:rFonts w:ascii="宋体" w:hAnsi="宋体" w:eastAsia="宋体"/>
          <w:b/>
          <w:sz w:val="21"/>
        </w:rPr>
        <w:t>2025年度供应商名录与评价记录.docx</w:t>
      </w:r>
    </w:p>
    <w:p>
      <w:pPr>
        <w:spacing w:before="0" w:after="80" w:line="240" w:lineRule="auto"/>
      </w:pPr>
      <w:r>
        <w:rPr>
          <w:rFonts w:ascii="宋体" w:hAnsi="宋体" w:eastAsia="宋体"/>
          <w:b w:val="0"/>
          <w:sz w:val="21"/>
        </w:rPr>
        <w:t>1. ESG 审计汇总部分（第六节）记载'0 家发现童工或强制劳动现象'，但供应商退出记录（第二节）及后续处置（第七节）中记载'境外某精密零件代工商'于 2025 年 8 月审计中发现未成年人（16-17 岁）参与生产并立即停用、永久中止合作。两处记载可能存在统计口径差异（ESG 审计覆盖 33 家供应商样本，该退出供应商可能不在审计样本中，或发现时间晚于审计汇总编制时点）。报告生成时需核实并准确表述，避免笼统声称'未发现童工'。</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在报告涉及供应链劳工权益或童工议题时，应区分'ESG 审计样本（33 家）中未发现'与'全年整体供应链中发现 1 起并已处置'两个层面分别表述。</w:t>
      </w:r>
    </w:p>
    <w:p>
      <w:pPr>
        <w:spacing w:before="0" w:after="0" w:line="240" w:lineRule="auto"/>
      </w:pPr>
      <w:r>
        <w:br w:type="page"/>
      </w:r>
    </w:p>
    <w:p>
      <w:pPr>
        <w:spacing w:before="0" w:after="200" w:line="240" w:lineRule="auto"/>
      </w:pPr>
      <w:r>
        <w:rPr>
          <w:rFonts w:ascii="宋体" w:hAnsi="宋体" w:eastAsia="宋体"/>
          <w:b/>
          <w:sz w:val="36"/>
        </w:rPr>
        <w:t>准则对照说明</w:t>
      </w:r>
    </w:p>
    <w:p>
      <w:pPr>
        <w:spacing w:before="0" w:after="320" w:line="240" w:lineRule="auto"/>
      </w:pPr>
      <w:r>
        <w:rPr>
          <w:rFonts w:ascii="宋体" w:hAnsi="宋体" w:eastAsia="宋体"/>
          <w:b w:val="0"/>
          <w:color w:val="595959"/>
          <w:sz w:val="21"/>
        </w:rPr>
        <w:t>本页说明本报告对照上海证券交易所《上市公司自律监管指南第4号——可持续发展报告编制》的披露覆盖情况，供定稿前参考，不构成鉴证意见或法律意见。本页不属于报告正文，正式报告不包含本页。</w:t>
      </w:r>
    </w:p>
    <w:p>
      <w:pPr>
        <w:spacing w:before="0" w:after="80" w:line="240" w:lineRule="auto"/>
      </w:pPr>
      <w:r>
        <w:rPr>
          <w:rFonts w:ascii="宋体" w:hAnsi="宋体" w:eastAsia="宋体"/>
          <w:b w:val="0"/>
          <w:sz w:val="21"/>
        </w:rPr>
        <w:t>本报告已覆盖 152 项准则应披露要求。</w:t>
      </w:r>
    </w:p>
    <w:p>
      <w:pPr>
        <w:keepNext/>
        <w:spacing w:before="280" w:after="120" w:line="240" w:lineRule="auto"/>
      </w:pPr>
      <w:r>
        <w:rPr>
          <w:rFonts w:ascii="宋体" w:hAnsi="宋体" w:eastAsia="宋体"/>
          <w:b/>
          <w:sz w:val="24"/>
        </w:rPr>
        <w:t>建议留意事项</w:t>
      </w:r>
    </w:p>
    <w:p>
      <w:pPr>
        <w:keepNext/>
        <w:spacing w:before="0" w:after="80" w:line="240" w:lineRule="auto"/>
      </w:pPr>
      <w:r>
        <w:rPr>
          <w:rFonts w:ascii="宋体" w:hAnsi="宋体" w:eastAsia="宋体"/>
          <w:b w:val="0"/>
          <w:color w:val="595959"/>
          <w:sz w:val="21"/>
        </w:rPr>
        <w:t>以下事项在定稿前值得关注，可通过补充资料或补充说明处理。</w:t>
      </w:r>
    </w:p>
    <w:p>
      <w:pPr>
        <w:spacing w:before="0" w:after="80" w:line="240" w:lineRule="auto"/>
      </w:pPr>
      <w:r>
        <w:rPr>
          <w:rFonts w:ascii="宋体" w:hAnsi="宋体" w:eastAsia="宋体"/>
          <w:b w:val="0"/>
          <w:sz w:val="21"/>
        </w:rPr>
        <w:t>1. 【数据安全与客户隐私保护】「验证演练与持续改进」因未获得对应资料，本报告未作披露。</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补充相应资料后重新生成，或在定稿时补充一句未披露原因的说明。</w:t>
      </w:r>
    </w:p>
    <w:p>
      <w:pPr>
        <w:spacing w:before="0" w:after="80" w:line="240" w:lineRule="auto"/>
      </w:pPr>
      <w:r>
        <w:rPr>
          <w:rFonts w:ascii="宋体" w:hAnsi="宋体" w:eastAsia="宋体"/>
          <w:b w:val="0"/>
          <w:sz w:val="21"/>
        </w:rPr>
        <w:t>2. 【反不正当竞争】「合作伙伴反不正当竞争要求」因未获得对应资料，本报告未作披露。</w:t>
      </w:r>
    </w:p>
    <w:p>
      <w:pPr>
        <w:spacing w:before="0" w:after="200" w:line="240" w:lineRule="auto"/>
        <w:ind w:leftChars="200"/>
      </w:pPr>
      <w:r>
        <w:rPr>
          <w:rFonts w:ascii="宋体" w:hAnsi="宋体" w:eastAsia="宋体"/>
          <w:b/>
          <w:color w:val="595959"/>
          <w:sz w:val="20"/>
        </w:rPr>
        <w:t xml:space="preserve">提示　</w:t>
      </w:r>
      <w:r>
        <w:rPr>
          <w:rFonts w:ascii="宋体" w:hAnsi="宋体" w:eastAsia="宋体"/>
          <w:b w:val="0"/>
          <w:color w:val="595959"/>
          <w:sz w:val="20"/>
        </w:rPr>
        <w:t>补充相应资料后重新生成，或在定稿时补充一句未披露原因的说明。</w:t>
      </w:r>
    </w:p>
    <w:p>
      <w:pPr>
        <w:keepNext/>
        <w:spacing w:before="280" w:after="120" w:line="240" w:lineRule="auto"/>
      </w:pPr>
      <w:r>
        <w:rPr>
          <w:rFonts w:ascii="宋体" w:hAnsi="宋体" w:eastAsia="宋体"/>
          <w:b/>
          <w:sz w:val="24"/>
        </w:rPr>
        <w:t>准则允许的省略</w:t>
      </w:r>
    </w:p>
    <w:p>
      <w:pPr>
        <w:keepNext/>
        <w:spacing w:before="0" w:after="80" w:line="240" w:lineRule="auto"/>
      </w:pPr>
      <w:r>
        <w:rPr>
          <w:rFonts w:ascii="宋体" w:hAnsi="宋体" w:eastAsia="宋体"/>
          <w:b w:val="0"/>
          <w:color w:val="595959"/>
          <w:sz w:val="21"/>
        </w:rPr>
        <w:t>以下内容依据准则规定未纳入本报告，列出供了解，无须处理。</w:t>
      </w:r>
    </w:p>
    <w:p>
      <w:pPr>
        <w:spacing w:before="0" w:after="80" w:line="240" w:lineRule="auto"/>
      </w:pPr>
      <w:r>
        <w:rPr>
          <w:rFonts w:ascii="宋体" w:hAnsi="宋体" w:eastAsia="宋体"/>
          <w:b w:val="0"/>
          <w:sz w:val="21"/>
        </w:rPr>
        <w:t>1. 【应对气候变化】气候转型计划需以专项减排路径与资源安排为基础，超出本报告的编制范围，未作披露。</w:t>
      </w:r>
    </w:p>
    <w:p>
      <w:pPr>
        <w:spacing w:before="0" w:after="80" w:line="240" w:lineRule="auto"/>
      </w:pPr>
      <w:r>
        <w:rPr>
          <w:rFonts w:ascii="宋体" w:hAnsi="宋体" w:eastAsia="宋体"/>
          <w:b w:val="0"/>
          <w:sz w:val="21"/>
        </w:rPr>
        <w:t>2. 【应对气候变化】相关财务影响的定量信息缺少可核算基础，本报告未作定量披露；准则允许以定性说明替代。</w:t>
      </w:r>
    </w:p>
    <w:p>
      <w:pPr>
        <w:spacing w:before="0" w:after="80" w:line="240" w:lineRule="auto"/>
      </w:pPr>
      <w:r>
        <w:rPr>
          <w:rFonts w:ascii="宋体" w:hAnsi="宋体" w:eastAsia="宋体"/>
          <w:b w:val="0"/>
          <w:sz w:val="21"/>
        </w:rPr>
        <w:t>3. 【应对气候变化】气候情景分析属准则鼓励披露事项，本报告未开展情景分析，未作相关披露。</w:t>
      </w:r>
    </w:p>
    <w:p>
      <w:pPr>
        <w:spacing w:before="0" w:after="80" w:line="240" w:lineRule="auto"/>
      </w:pPr>
      <w:r>
        <w:rPr>
          <w:rFonts w:ascii="宋体" w:hAnsi="宋体" w:eastAsia="宋体"/>
          <w:b w:val="0"/>
          <w:sz w:val="21"/>
        </w:rPr>
        <w:t>4. 【客户服务质量管理】该事项已在相邻议题中合并披露；准则允许相关内容合并撰写。</w:t>
      </w:r>
    </w:p>
    <w:p>
      <w:pPr>
        <w:spacing w:before="0" w:after="80" w:line="240" w:lineRule="auto"/>
      </w:pPr>
      <w:r>
        <w:rPr>
          <w:rFonts w:ascii="宋体" w:hAnsi="宋体" w:eastAsia="宋体"/>
          <w:b w:val="0"/>
          <w:sz w:val="21"/>
        </w:rPr>
        <w:t>5. 【数据安全与客户隐私保护】该披露事项超出本报告的编制范围，未作单独披露。</w:t>
      </w:r>
    </w:p>
    <w:p>
      <w:pPr>
        <w:spacing w:before="0" w:after="80" w:line="240" w:lineRule="auto"/>
      </w:pPr>
      <w:r>
        <w:rPr>
          <w:rFonts w:ascii="宋体" w:hAnsi="宋体" w:eastAsia="宋体"/>
          <w:b w:val="0"/>
          <w:sz w:val="21"/>
        </w:rPr>
        <w:t>6. 【反商业贿赂与反贪污】该事项已并入报告的整体治理与内部制度章节披露；准则允许治理要素整合披露。</w:t>
      </w:r>
    </w:p>
    <w:p>
      <w:pPr>
        <w:spacing w:before="0" w:after="80" w:line="240" w:lineRule="auto"/>
      </w:pPr>
      <w:r>
        <w:rPr>
          <w:rFonts w:ascii="宋体" w:hAnsi="宋体" w:eastAsia="宋体"/>
          <w:b w:val="0"/>
          <w:sz w:val="21"/>
        </w:rPr>
        <w:t>7. 【尽职调查】该议题的准则披露要求尚在梳理中，本报告按现有编制规范生成内容，未做逐条准则对照。</w:t>
      </w:r>
    </w:p>
    <w:p>
      <w:pPr>
        <w:spacing w:before="0" w:after="80" w:line="240" w:lineRule="auto"/>
      </w:pPr>
      <w:r>
        <w:rPr>
          <w:rFonts w:ascii="宋体" w:hAnsi="宋体" w:eastAsia="宋体"/>
          <w:b w:val="0"/>
          <w:sz w:val="21"/>
        </w:rPr>
        <w:t>8. 【风险管理】该议题的准则披露要求尚在梳理中，本报告按现有编制规范生成内容，未做逐条准则对照。</w:t>
      </w:r>
    </w:p>
    <w:p>
      <w:pPr>
        <w:spacing w:before="0" w:after="0" w:line="240" w:lineRule="auto"/>
      </w:pPr>
      <w:r>
        <w:br w:type="page"/>
      </w:r>
    </w:p>
    <w:sdt>
      <w:sdtPr>
        <w:rPr>
          <w:rFonts w:asciiTheme="minorHAnsi" w:eastAsiaTheme="minorEastAsia" w:hAnsiTheme="minorHAnsi" w:cstheme="minorBidi"/>
          <w:color w:val="auto"/>
          <w:kern w:val="2"/>
          <w:sz w:val="22"/>
          <w:szCs w:val="24"/>
          <w:lang w:val="zh-CN"/>
          <w14:ligatures w14:val="standardContextual"/>
        </w:rPr>
        <w:id w:val="979504301"/>
        <w:docPartObj>
          <w:docPartGallery w:val="Table of Contents"/>
          <w:docPartUnique/>
        </w:docPartObj>
      </w:sdtPr>
      <w:sdtEndPr>
        <w:rPr>
          <w:b/>
          <w:bCs/>
        </w:rPr>
      </w:sdtEndPr>
      <w:sdtContent>
        <w:p w14:paraId="2B77C90A" w14:textId="02C6BC45" w:rsidR="00210159" w:rsidRPr="006017FE" w:rsidRDefault="00210159" w:rsidP="00210159">
          <w:pPr>
            <w:pStyle w:val="TOC"/>
            <w:adjustRightInd w:val="0"/>
            <w:snapToGrid w:val="0"/>
            <w:spacing w:before="0" w:line="240" w:lineRule="auto"/>
            <w:jc w:val="center"/>
            <w:rPr>
              <w:rFonts w:ascii="微软雅黑" w:eastAsia="微软雅黑" w:hAnsi="微软雅黑" w:cs="Times New Roman"/>
              <w:b/>
              <w:bCs/>
            </w:rPr>
          </w:pPr>
          <w:r w:rsidRPr="006017FE">
            <w:rPr>
              <w:rFonts w:ascii="微软雅黑" w:eastAsia="微软雅黑" w:hAnsi="微软雅黑" w:cs="Times New Roman"/>
              <w:b/>
              <w:bCs/>
              <w:lang w:val="zh-CN"/>
            </w:rPr>
            <w:t>目录</w:t>
          </w:r>
        </w:p>
        <w:p>
          <w:pPr>
            <w:pStyle w:val="TOC1"/>
          </w:pPr>
          <w:hyperlink w:anchor="GS_TOC_001" w:history="1">
            <w:r>
              <w:t>关于本报告</w:t>
            </w:r>
          </w:hyperlink>
          <w:r>
            <w:tab/>
          </w:r>
          <w:r>
            <w:fldChar w:fldCharType="begin"/>
          </w:r>
          <w:r>
            <w:instrText xml:space="preserve"> PAGEREF GS_TOC_001 \h </w:instrText>
          </w:r>
          <w:r>
            <w:fldChar w:fldCharType="separate"/>
          </w:r>
          <w:r>
            <w:t>1</w:t>
          </w:r>
          <w:r>
            <w:fldChar w:fldCharType="end"/>
          </w:r>
        </w:p>
        <w:p>
          <w:pPr>
            <w:pStyle w:val="TOC2"/>
          </w:pPr>
          <w:hyperlink w:anchor="GS_TOC_002" w:history="1">
            <w:r>
              <w:t>一、报告范围</w:t>
            </w:r>
          </w:hyperlink>
          <w:r>
            <w:tab/>
          </w:r>
          <w:r>
            <w:fldChar w:fldCharType="begin"/>
          </w:r>
          <w:r>
            <w:instrText xml:space="preserve"> PAGEREF GS_TOC_002 \h </w:instrText>
          </w:r>
          <w:r>
            <w:fldChar w:fldCharType="separate"/>
          </w:r>
          <w:r>
            <w:t>1</w:t>
          </w:r>
          <w:r>
            <w:fldChar w:fldCharType="end"/>
          </w:r>
        </w:p>
        <w:p>
          <w:pPr>
            <w:pStyle w:val="TOC2"/>
          </w:pPr>
          <w:hyperlink w:anchor="GS_TOC_003" w:history="1">
            <w:r>
              <w:t>二、时间范围</w:t>
            </w:r>
          </w:hyperlink>
          <w:r>
            <w:tab/>
          </w:r>
          <w:r>
            <w:fldChar w:fldCharType="begin"/>
          </w:r>
          <w:r>
            <w:instrText xml:space="preserve"> PAGEREF GS_TOC_003 \h </w:instrText>
          </w:r>
          <w:r>
            <w:fldChar w:fldCharType="separate"/>
          </w:r>
          <w:r>
            <w:t>1</w:t>
          </w:r>
          <w:r>
            <w:fldChar w:fldCharType="end"/>
          </w:r>
        </w:p>
        <w:p>
          <w:pPr>
            <w:pStyle w:val="TOC2"/>
          </w:pPr>
          <w:hyperlink w:anchor="GS_TOC_004" w:history="1">
            <w:r>
              <w:t>三、编制依据</w:t>
            </w:r>
          </w:hyperlink>
          <w:r>
            <w:tab/>
          </w:r>
          <w:r>
            <w:fldChar w:fldCharType="begin"/>
          </w:r>
          <w:r>
            <w:instrText xml:space="preserve"> PAGEREF GS_TOC_004 \h </w:instrText>
          </w:r>
          <w:r>
            <w:fldChar w:fldCharType="separate"/>
          </w:r>
          <w:r>
            <w:t>1</w:t>
          </w:r>
          <w:r>
            <w:fldChar w:fldCharType="end"/>
          </w:r>
        </w:p>
        <w:p>
          <w:pPr>
            <w:pStyle w:val="TOC2"/>
          </w:pPr>
          <w:hyperlink w:anchor="GS_TOC_005" w:history="1">
            <w:r>
              <w:t>四、编制原则</w:t>
            </w:r>
          </w:hyperlink>
          <w:r>
            <w:tab/>
          </w:r>
          <w:r>
            <w:fldChar w:fldCharType="begin"/>
          </w:r>
          <w:r>
            <w:instrText xml:space="preserve"> PAGEREF GS_TOC_005 \h </w:instrText>
          </w:r>
          <w:r>
            <w:fldChar w:fldCharType="separate"/>
          </w:r>
          <w:r>
            <w:t>2</w:t>
          </w:r>
          <w:r>
            <w:fldChar w:fldCharType="end"/>
          </w:r>
        </w:p>
        <w:p>
          <w:pPr>
            <w:pStyle w:val="TOC2"/>
          </w:pPr>
          <w:hyperlink w:anchor="GS_TOC_006" w:history="1">
            <w:r>
              <w:t>五、报告获取及意见反馈</w:t>
            </w:r>
          </w:hyperlink>
          <w:r>
            <w:tab/>
          </w:r>
          <w:r>
            <w:fldChar w:fldCharType="begin"/>
          </w:r>
          <w:r>
            <w:instrText xml:space="preserve"> PAGEREF GS_TOC_006 \h </w:instrText>
          </w:r>
          <w:r>
            <w:fldChar w:fldCharType="separate"/>
          </w:r>
          <w:r>
            <w:t>2</w:t>
          </w:r>
          <w:r>
            <w:fldChar w:fldCharType="end"/>
          </w:r>
        </w:p>
        <w:p>
          <w:pPr>
            <w:pStyle w:val="TOC1"/>
          </w:pPr>
          <w:hyperlink w:anchor="GS_TOC_007" w:history="1">
            <w:r>
              <w:t>关于晟原精密</w:t>
            </w:r>
          </w:hyperlink>
          <w:r>
            <w:tab/>
          </w:r>
          <w:r>
            <w:fldChar w:fldCharType="begin"/>
          </w:r>
          <w:r>
            <w:instrText xml:space="preserve"> PAGEREF GS_TOC_007 \h </w:instrText>
          </w:r>
          <w:r>
            <w:fldChar w:fldCharType="separate"/>
          </w:r>
          <w:r>
            <w:t>3</w:t>
          </w:r>
          <w:r>
            <w:fldChar w:fldCharType="end"/>
          </w:r>
        </w:p>
        <w:p>
          <w:pPr>
            <w:pStyle w:val="TOC1"/>
          </w:pPr>
          <w:hyperlink w:anchor="GS_TOC_008" w:history="1">
            <w:r>
              <w:t>第一章 公司治理</w:t>
            </w:r>
          </w:hyperlink>
          <w:r>
            <w:tab/>
          </w:r>
          <w:r>
            <w:fldChar w:fldCharType="begin"/>
          </w:r>
          <w:r>
            <w:instrText xml:space="preserve"> PAGEREF GS_TOC_008 \h </w:instrText>
          </w:r>
          <w:r>
            <w:fldChar w:fldCharType="separate"/>
          </w:r>
          <w:r>
            <w:t>5</w:t>
          </w:r>
          <w:r>
            <w:fldChar w:fldCharType="end"/>
          </w:r>
        </w:p>
        <w:p>
          <w:pPr>
            <w:pStyle w:val="TOC2"/>
          </w:pPr>
          <w:hyperlink w:anchor="GS_TOC_009" w:history="1">
            <w:r>
              <w:t>一、治理架构与权责体系</w:t>
            </w:r>
          </w:hyperlink>
          <w:r>
            <w:tab/>
          </w:r>
          <w:r>
            <w:fldChar w:fldCharType="begin"/>
          </w:r>
          <w:r>
            <w:instrText xml:space="preserve"> PAGEREF GS_TOC_009 \h </w:instrText>
          </w:r>
          <w:r>
            <w:fldChar w:fldCharType="separate"/>
          </w:r>
          <w:r>
            <w:t>5</w:t>
          </w:r>
          <w:r>
            <w:fldChar w:fldCharType="end"/>
          </w:r>
        </w:p>
        <w:p>
          <w:pPr>
            <w:pStyle w:val="TOC2"/>
          </w:pPr>
          <w:hyperlink w:anchor="GS_TOC_010" w:history="1">
            <w:r>
              <w:t>二、治理合规与透明度</w:t>
            </w:r>
          </w:hyperlink>
          <w:r>
            <w:tab/>
          </w:r>
          <w:r>
            <w:fldChar w:fldCharType="begin"/>
          </w:r>
          <w:r>
            <w:instrText xml:space="preserve"> PAGEREF GS_TOC_010 \h </w:instrText>
          </w:r>
          <w:r>
            <w:fldChar w:fldCharType="separate"/>
          </w:r>
          <w:r>
            <w:t>6</w:t>
          </w:r>
          <w:r>
            <w:fldChar w:fldCharType="end"/>
          </w:r>
        </w:p>
        <w:p>
          <w:pPr>
            <w:pStyle w:val="TOC1"/>
          </w:pPr>
          <w:hyperlink w:anchor="GS_TOC_011" w:history="1">
            <w:r>
              <w:t>第二章 可持续发展治理</w:t>
            </w:r>
          </w:hyperlink>
          <w:r>
            <w:tab/>
          </w:r>
          <w:r>
            <w:fldChar w:fldCharType="begin"/>
          </w:r>
          <w:r>
            <w:instrText xml:space="preserve"> PAGEREF GS_TOC_011 \h </w:instrText>
          </w:r>
          <w:r>
            <w:fldChar w:fldCharType="separate"/>
          </w:r>
          <w:r>
            <w:t>6</w:t>
          </w:r>
          <w:r>
            <w:fldChar w:fldCharType="end"/>
          </w:r>
        </w:p>
        <w:p>
          <w:pPr>
            <w:pStyle w:val="TOC2"/>
          </w:pPr>
          <w:hyperlink w:anchor="GS_TOC_012" w:history="1">
            <w:r>
              <w:t>一、可持续发展战略</w:t>
            </w:r>
          </w:hyperlink>
          <w:r>
            <w:tab/>
          </w:r>
          <w:r>
            <w:fldChar w:fldCharType="begin"/>
          </w:r>
          <w:r>
            <w:instrText xml:space="preserve"> PAGEREF GS_TOC_012 \h </w:instrText>
          </w:r>
          <w:r>
            <w:fldChar w:fldCharType="separate"/>
          </w:r>
          <w:r>
            <w:t>6</w:t>
          </w:r>
          <w:r>
            <w:fldChar w:fldCharType="end"/>
          </w:r>
        </w:p>
        <w:p>
          <w:pPr>
            <w:pStyle w:val="TOC2"/>
          </w:pPr>
          <w:hyperlink w:anchor="GS_TOC_013" w:history="1">
            <w:r>
              <w:t>二、可持续发展治理架构</w:t>
            </w:r>
          </w:hyperlink>
          <w:r>
            <w:tab/>
          </w:r>
          <w:r>
            <w:fldChar w:fldCharType="begin"/>
          </w:r>
          <w:r>
            <w:instrText xml:space="preserve"> PAGEREF GS_TOC_013 \h </w:instrText>
          </w:r>
          <w:r>
            <w:fldChar w:fldCharType="separate"/>
          </w:r>
          <w:r>
            <w:t>7</w:t>
          </w:r>
          <w:r>
            <w:fldChar w:fldCharType="end"/>
          </w:r>
        </w:p>
        <w:p>
          <w:pPr>
            <w:pStyle w:val="TOC2"/>
          </w:pPr>
          <w:hyperlink w:anchor="GS_TOC_014" w:history="1">
            <w:r>
              <w:t>三、利益相关方沟通</w:t>
            </w:r>
          </w:hyperlink>
          <w:r>
            <w:tab/>
          </w:r>
          <w:r>
            <w:fldChar w:fldCharType="begin"/>
          </w:r>
          <w:r>
            <w:instrText xml:space="preserve"> PAGEREF GS_TOC_014 \h </w:instrText>
          </w:r>
          <w:r>
            <w:fldChar w:fldCharType="separate"/>
          </w:r>
          <w:r>
            <w:t>8</w:t>
          </w:r>
          <w:r>
            <w:fldChar w:fldCharType="end"/>
          </w:r>
        </w:p>
        <w:p>
          <w:pPr>
            <w:pStyle w:val="TOC2"/>
          </w:pPr>
          <w:hyperlink w:anchor="GS_TOC_015" w:history="1">
            <w:r>
              <w:t>四、议题重要性评估</w:t>
            </w:r>
          </w:hyperlink>
          <w:r>
            <w:tab/>
          </w:r>
          <w:r>
            <w:fldChar w:fldCharType="begin"/>
          </w:r>
          <w:r>
            <w:instrText xml:space="preserve"> PAGEREF GS_TOC_015 \h </w:instrText>
          </w:r>
          <w:r>
            <w:fldChar w:fldCharType="separate"/>
          </w:r>
          <w:r>
            <w:t>9</w:t>
          </w:r>
          <w:r>
            <w:fldChar w:fldCharType="end"/>
          </w:r>
        </w:p>
        <w:p>
          <w:pPr>
            <w:pStyle w:val="TOC1"/>
          </w:pPr>
          <w:hyperlink w:anchor="GS_TOC_016" w:history="1">
            <w:r>
              <w:t>第三章 践行低碳转型与保护生态环境</w:t>
            </w:r>
          </w:hyperlink>
          <w:r>
            <w:tab/>
          </w:r>
          <w:r>
            <w:fldChar w:fldCharType="begin"/>
          </w:r>
          <w:r>
            <w:instrText xml:space="preserve"> PAGEREF GS_TOC_016 \h </w:instrText>
          </w:r>
          <w:r>
            <w:fldChar w:fldCharType="separate"/>
          </w:r>
          <w:r>
            <w:t>17</w:t>
          </w:r>
          <w:r>
            <w:fldChar w:fldCharType="end"/>
          </w:r>
        </w:p>
        <w:p>
          <w:pPr>
            <w:pStyle w:val="TOC2"/>
          </w:pPr>
          <w:hyperlink w:anchor="GS_TOC_017" w:history="1">
            <w:r>
              <w:t>一、应对气候变化</w:t>
            </w:r>
          </w:hyperlink>
          <w:r>
            <w:tab/>
          </w:r>
          <w:r>
            <w:fldChar w:fldCharType="begin"/>
          </w:r>
          <w:r>
            <w:instrText xml:space="preserve"> PAGEREF GS_TOC_017 \h </w:instrText>
          </w:r>
          <w:r>
            <w:fldChar w:fldCharType="separate"/>
          </w:r>
          <w:r>
            <w:t>17</w:t>
          </w:r>
          <w:r>
            <w:fldChar w:fldCharType="end"/>
          </w:r>
        </w:p>
        <w:p>
          <w:pPr>
            <w:pStyle w:val="TOC2"/>
          </w:pPr>
          <w:hyperlink w:anchor="GS_TOC_018" w:history="1">
            <w:r>
              <w:t>二、环境合规管理</w:t>
            </w:r>
          </w:hyperlink>
          <w:r>
            <w:tab/>
          </w:r>
          <w:r>
            <w:fldChar w:fldCharType="begin"/>
          </w:r>
          <w:r>
            <w:instrText xml:space="preserve"> PAGEREF GS_TOC_018 \h </w:instrText>
          </w:r>
          <w:r>
            <w:fldChar w:fldCharType="separate"/>
          </w:r>
          <w:r>
            <w:t>27</w:t>
          </w:r>
          <w:r>
            <w:fldChar w:fldCharType="end"/>
          </w:r>
        </w:p>
        <w:p>
          <w:pPr>
            <w:pStyle w:val="TOC2"/>
          </w:pPr>
          <w:hyperlink w:anchor="GS_TOC_019" w:history="1">
            <w:r>
              <w:t>三、污染物排放管理</w:t>
            </w:r>
          </w:hyperlink>
          <w:r>
            <w:tab/>
          </w:r>
          <w:r>
            <w:fldChar w:fldCharType="begin"/>
          </w:r>
          <w:r>
            <w:instrText xml:space="preserve"> PAGEREF GS_TOC_019 \h </w:instrText>
          </w:r>
          <w:r>
            <w:fldChar w:fldCharType="separate"/>
          </w:r>
          <w:r>
            <w:t>30</w:t>
          </w:r>
          <w:r>
            <w:fldChar w:fldCharType="end"/>
          </w:r>
        </w:p>
        <w:p>
          <w:pPr>
            <w:pStyle w:val="TOC2"/>
          </w:pPr>
          <w:hyperlink w:anchor="GS_TOC_020" w:history="1">
            <w:r>
              <w:t>四、废弃物管理</w:t>
            </w:r>
          </w:hyperlink>
          <w:r>
            <w:tab/>
          </w:r>
          <w:r>
            <w:fldChar w:fldCharType="begin"/>
          </w:r>
          <w:r>
            <w:instrText xml:space="preserve"> PAGEREF GS_TOC_020 \h </w:instrText>
          </w:r>
          <w:r>
            <w:fldChar w:fldCharType="separate"/>
          </w:r>
          <w:r>
            <w:t>32</w:t>
          </w:r>
          <w:r>
            <w:fldChar w:fldCharType="end"/>
          </w:r>
        </w:p>
        <w:p>
          <w:pPr>
            <w:pStyle w:val="TOC2"/>
          </w:pPr>
          <w:hyperlink w:anchor="GS_TOC_021" w:history="1">
            <w:r>
              <w:t>五、促进循环经济</w:t>
            </w:r>
          </w:hyperlink>
          <w:r>
            <w:tab/>
          </w:r>
          <w:r>
            <w:fldChar w:fldCharType="begin"/>
          </w:r>
          <w:r>
            <w:instrText xml:space="preserve"> PAGEREF GS_TOC_021 \h </w:instrText>
          </w:r>
          <w:r>
            <w:fldChar w:fldCharType="separate"/>
          </w:r>
          <w:r>
            <w:t>35</w:t>
          </w:r>
          <w:r>
            <w:fldChar w:fldCharType="end"/>
          </w:r>
        </w:p>
        <w:p>
          <w:pPr>
            <w:pStyle w:val="TOC2"/>
          </w:pPr>
          <w:hyperlink w:anchor="GS_TOC_022" w:history="1">
            <w:r>
              <w:t>六、能源管理</w:t>
            </w:r>
          </w:hyperlink>
          <w:r>
            <w:tab/>
          </w:r>
          <w:r>
            <w:fldChar w:fldCharType="begin"/>
          </w:r>
          <w:r>
            <w:instrText xml:space="preserve"> PAGEREF GS_TOC_022 \h </w:instrText>
          </w:r>
          <w:r>
            <w:fldChar w:fldCharType="separate"/>
          </w:r>
          <w:r>
            <w:t>37</w:t>
          </w:r>
          <w:r>
            <w:fldChar w:fldCharType="end"/>
          </w:r>
        </w:p>
        <w:p>
          <w:pPr>
            <w:pStyle w:val="TOC2"/>
          </w:pPr>
          <w:hyperlink w:anchor="GS_TOC_023" w:history="1">
            <w:r>
              <w:t>七、水资源管理</w:t>
            </w:r>
          </w:hyperlink>
          <w:r>
            <w:tab/>
          </w:r>
          <w:r>
            <w:fldChar w:fldCharType="begin"/>
          </w:r>
          <w:r>
            <w:instrText xml:space="preserve"> PAGEREF GS_TOC_023 \h </w:instrText>
          </w:r>
          <w:r>
            <w:fldChar w:fldCharType="separate"/>
          </w:r>
          <w:r>
            <w:t>40</w:t>
          </w:r>
          <w:r>
            <w:fldChar w:fldCharType="end"/>
          </w:r>
        </w:p>
        <w:p>
          <w:pPr>
            <w:pStyle w:val="TOC2"/>
          </w:pPr>
          <w:hyperlink w:anchor="GS_TOC_024" w:history="1">
            <w:r>
              <w:t>八、生态系统与生物多样性保护</w:t>
            </w:r>
          </w:hyperlink>
          <w:r>
            <w:tab/>
          </w:r>
          <w:r>
            <w:fldChar w:fldCharType="begin"/>
          </w:r>
          <w:r>
            <w:instrText xml:space="preserve"> PAGEREF GS_TOC_024 \h </w:instrText>
          </w:r>
          <w:r>
            <w:fldChar w:fldCharType="separate"/>
          </w:r>
          <w:r>
            <w:t>42</w:t>
          </w:r>
          <w:r>
            <w:fldChar w:fldCharType="end"/>
          </w:r>
        </w:p>
        <w:p>
          <w:pPr>
            <w:pStyle w:val="TOC1"/>
          </w:pPr>
          <w:hyperlink w:anchor="GS_TOC_025" w:history="1">
            <w:r>
              <w:t>第四章 保障员工福祉与促进社会和谐</w:t>
            </w:r>
          </w:hyperlink>
          <w:r>
            <w:tab/>
          </w:r>
          <w:r>
            <w:fldChar w:fldCharType="begin"/>
          </w:r>
          <w:r>
            <w:instrText xml:space="preserve"> PAGEREF GS_TOC_025 \h </w:instrText>
          </w:r>
          <w:r>
            <w:fldChar w:fldCharType="separate"/>
          </w:r>
          <w:r>
            <w:t>44</w:t>
          </w:r>
          <w:r>
            <w:fldChar w:fldCharType="end"/>
          </w:r>
        </w:p>
        <w:p>
          <w:pPr>
            <w:pStyle w:val="TOC2"/>
          </w:pPr>
          <w:hyperlink w:anchor="GS_TOC_026" w:history="1">
            <w:r>
              <w:t>一、人力资本发展</w:t>
            </w:r>
          </w:hyperlink>
          <w:r>
            <w:tab/>
          </w:r>
          <w:r>
            <w:fldChar w:fldCharType="begin"/>
          </w:r>
          <w:r>
            <w:instrText xml:space="preserve"> PAGEREF GS_TOC_026 \h </w:instrText>
          </w:r>
          <w:r>
            <w:fldChar w:fldCharType="separate"/>
          </w:r>
          <w:r>
            <w:t>44</w:t>
          </w:r>
          <w:r>
            <w:fldChar w:fldCharType="end"/>
          </w:r>
        </w:p>
        <w:p>
          <w:pPr>
            <w:pStyle w:val="TOC2"/>
          </w:pPr>
          <w:hyperlink w:anchor="GS_TOC_027" w:history="1">
            <w:r>
              <w:t>二、职业健康与安全</w:t>
            </w:r>
          </w:hyperlink>
          <w:r>
            <w:tab/>
          </w:r>
          <w:r>
            <w:fldChar w:fldCharType="begin"/>
          </w:r>
          <w:r>
            <w:instrText xml:space="preserve"> PAGEREF GS_TOC_027 \h </w:instrText>
          </w:r>
          <w:r>
            <w:fldChar w:fldCharType="separate"/>
          </w:r>
          <w:r>
            <w:t>47</w:t>
          </w:r>
          <w:r>
            <w:fldChar w:fldCharType="end"/>
          </w:r>
        </w:p>
        <w:p>
          <w:pPr>
            <w:pStyle w:val="TOC2"/>
          </w:pPr>
          <w:hyperlink w:anchor="GS_TOC_028" w:history="1">
            <w:r>
              <w:t>三、乡村振兴与社会贡献</w:t>
            </w:r>
          </w:hyperlink>
          <w:r>
            <w:tab/>
          </w:r>
          <w:r>
            <w:fldChar w:fldCharType="begin"/>
          </w:r>
          <w:r>
            <w:instrText xml:space="preserve"> PAGEREF GS_TOC_028 \h </w:instrText>
          </w:r>
          <w:r>
            <w:fldChar w:fldCharType="separate"/>
          </w:r>
          <w:r>
            <w:t>49</w:t>
          </w:r>
          <w:r>
            <w:fldChar w:fldCharType="end"/>
          </w:r>
        </w:p>
        <w:p>
          <w:pPr>
            <w:pStyle w:val="TOC1"/>
          </w:pPr>
          <w:hyperlink w:anchor="GS_TOC_029" w:history="1">
            <w:r>
              <w:t>第五章 坚持创新驱动与履行产品责任</w:t>
            </w:r>
          </w:hyperlink>
          <w:r>
            <w:tab/>
          </w:r>
          <w:r>
            <w:fldChar w:fldCharType="begin"/>
          </w:r>
          <w:r>
            <w:instrText xml:space="preserve"> PAGEREF GS_TOC_029 \h </w:instrText>
          </w:r>
          <w:r>
            <w:fldChar w:fldCharType="separate"/>
          </w:r>
          <w:r>
            <w:t>51</w:t>
          </w:r>
          <w:r>
            <w:fldChar w:fldCharType="end"/>
          </w:r>
        </w:p>
        <w:p>
          <w:pPr>
            <w:pStyle w:val="TOC2"/>
          </w:pPr>
          <w:hyperlink w:anchor="GS_TOC_030" w:history="1">
            <w:r>
              <w:t>一、创新驱动</w:t>
            </w:r>
          </w:hyperlink>
          <w:r>
            <w:tab/>
          </w:r>
          <w:r>
            <w:fldChar w:fldCharType="begin"/>
          </w:r>
          <w:r>
            <w:instrText xml:space="preserve"> PAGEREF GS_TOC_030 \h </w:instrText>
          </w:r>
          <w:r>
            <w:fldChar w:fldCharType="separate"/>
          </w:r>
          <w:r>
            <w:t>51</w:t>
          </w:r>
          <w:r>
            <w:fldChar w:fldCharType="end"/>
          </w:r>
        </w:p>
        <w:p>
          <w:pPr>
            <w:pStyle w:val="TOC2"/>
          </w:pPr>
          <w:hyperlink w:anchor="GS_TOC_031" w:history="1">
            <w:r>
              <w:t>二、产品质量与安全</w:t>
            </w:r>
          </w:hyperlink>
          <w:r>
            <w:tab/>
          </w:r>
          <w:r>
            <w:fldChar w:fldCharType="begin"/>
          </w:r>
          <w:r>
            <w:instrText xml:space="preserve"> PAGEREF GS_TOC_031 \h </w:instrText>
          </w:r>
          <w:r>
            <w:fldChar w:fldCharType="separate"/>
          </w:r>
          <w:r>
            <w:t>54</w:t>
          </w:r>
          <w:r>
            <w:fldChar w:fldCharType="end"/>
          </w:r>
        </w:p>
        <w:p>
          <w:pPr>
            <w:pStyle w:val="TOC2"/>
          </w:pPr>
          <w:hyperlink w:anchor="GS_TOC_032" w:history="1">
            <w:r>
              <w:t>三、客户服务质量管理</w:t>
            </w:r>
          </w:hyperlink>
          <w:r>
            <w:tab/>
          </w:r>
          <w:r>
            <w:fldChar w:fldCharType="begin"/>
          </w:r>
          <w:r>
            <w:instrText xml:space="preserve"> PAGEREF GS_TOC_032 \h </w:instrText>
          </w:r>
          <w:r>
            <w:fldChar w:fldCharType="separate"/>
          </w:r>
          <w:r>
            <w:t>56</w:t>
          </w:r>
          <w:r>
            <w:fldChar w:fldCharType="end"/>
          </w:r>
        </w:p>
        <w:p>
          <w:pPr>
            <w:pStyle w:val="TOC1"/>
          </w:pPr>
          <w:hyperlink w:anchor="GS_TOC_033" w:history="1">
            <w:r>
              <w:t>第六章 构建价值生态与提升链条韧性</w:t>
            </w:r>
          </w:hyperlink>
          <w:r>
            <w:tab/>
          </w:r>
          <w:r>
            <w:fldChar w:fldCharType="begin"/>
          </w:r>
          <w:r>
            <w:instrText xml:space="preserve"> PAGEREF GS_TOC_033 \h </w:instrText>
          </w:r>
          <w:r>
            <w:fldChar w:fldCharType="separate"/>
          </w:r>
          <w:r>
            <w:t>59</w:t>
          </w:r>
          <w:r>
            <w:fldChar w:fldCharType="end"/>
          </w:r>
        </w:p>
        <w:p>
          <w:pPr>
            <w:pStyle w:val="TOC2"/>
          </w:pPr>
          <w:hyperlink w:anchor="GS_TOC_034" w:history="1">
            <w:r>
              <w:t>一、可持续供应链管理</w:t>
            </w:r>
          </w:hyperlink>
          <w:r>
            <w:tab/>
          </w:r>
          <w:r>
            <w:fldChar w:fldCharType="begin"/>
          </w:r>
          <w:r>
            <w:instrText xml:space="preserve"> PAGEREF GS_TOC_034 \h </w:instrText>
          </w:r>
          <w:r>
            <w:fldChar w:fldCharType="separate"/>
          </w:r>
          <w:r>
            <w:t>59</w:t>
          </w:r>
          <w:r>
            <w:fldChar w:fldCharType="end"/>
          </w:r>
        </w:p>
        <w:p>
          <w:pPr>
            <w:pStyle w:val="TOC2"/>
          </w:pPr>
          <w:hyperlink w:anchor="GS_TOC_035" w:history="1">
            <w:r>
              <w:t>二、平等对待中小企业</w:t>
            </w:r>
          </w:hyperlink>
          <w:r>
            <w:tab/>
          </w:r>
          <w:r>
            <w:fldChar w:fldCharType="begin"/>
          </w:r>
          <w:r>
            <w:instrText xml:space="preserve"> PAGEREF GS_TOC_035 \h </w:instrText>
          </w:r>
          <w:r>
            <w:fldChar w:fldCharType="separate"/>
          </w:r>
          <w:r>
            <w:t>62</w:t>
          </w:r>
          <w:r>
            <w:fldChar w:fldCharType="end"/>
          </w:r>
        </w:p>
        <w:p>
          <w:pPr>
            <w:pStyle w:val="TOC2"/>
          </w:pPr>
          <w:hyperlink w:anchor="GS_TOC_036" w:history="1">
            <w:r>
              <w:t>三、科技伦理</w:t>
            </w:r>
          </w:hyperlink>
          <w:r>
            <w:tab/>
          </w:r>
          <w:r>
            <w:fldChar w:fldCharType="begin"/>
          </w:r>
          <w:r>
            <w:instrText xml:space="preserve"> PAGEREF GS_TOC_036 \h </w:instrText>
          </w:r>
          <w:r>
            <w:fldChar w:fldCharType="separate"/>
          </w:r>
          <w:r>
            <w:t>64</w:t>
          </w:r>
          <w:r>
            <w:fldChar w:fldCharType="end"/>
          </w:r>
        </w:p>
        <w:p>
          <w:pPr>
            <w:pStyle w:val="TOC2"/>
          </w:pPr>
          <w:hyperlink w:anchor="GS_TOC_037" w:history="1">
            <w:r>
              <w:t>四、数据安全与客户隐私保护</w:t>
            </w:r>
          </w:hyperlink>
          <w:r>
            <w:tab/>
          </w:r>
          <w:r>
            <w:fldChar w:fldCharType="begin"/>
          </w:r>
          <w:r>
            <w:instrText xml:space="preserve"> PAGEREF GS_TOC_037 \h </w:instrText>
          </w:r>
          <w:r>
            <w:fldChar w:fldCharType="separate"/>
          </w:r>
          <w:r>
            <w:t>65</w:t>
          </w:r>
          <w:r>
            <w:fldChar w:fldCharType="end"/>
          </w:r>
        </w:p>
        <w:p>
          <w:pPr>
            <w:pStyle w:val="TOC1"/>
          </w:pPr>
          <w:hyperlink w:anchor="GS_TOC_038" w:history="1">
            <w:r>
              <w:t>第七章 深化合规管理与完善风险治理</w:t>
            </w:r>
          </w:hyperlink>
          <w:r>
            <w:tab/>
          </w:r>
          <w:r>
            <w:fldChar w:fldCharType="begin"/>
          </w:r>
          <w:r>
            <w:instrText xml:space="preserve"> PAGEREF GS_TOC_038 \h </w:instrText>
          </w:r>
          <w:r>
            <w:fldChar w:fldCharType="separate"/>
          </w:r>
          <w:r>
            <w:t>67</w:t>
          </w:r>
          <w:r>
            <w:fldChar w:fldCharType="end"/>
          </w:r>
        </w:p>
        <w:p>
          <w:pPr>
            <w:pStyle w:val="TOC2"/>
          </w:pPr>
          <w:hyperlink w:anchor="GS_TOC_039" w:history="1">
            <w:r>
              <w:t>一、反商业贿赂与反贪污</w:t>
            </w:r>
          </w:hyperlink>
          <w:r>
            <w:tab/>
          </w:r>
          <w:r>
            <w:fldChar w:fldCharType="begin"/>
          </w:r>
          <w:r>
            <w:instrText xml:space="preserve"> PAGEREF GS_TOC_039 \h </w:instrText>
          </w:r>
          <w:r>
            <w:fldChar w:fldCharType="separate"/>
          </w:r>
          <w:r>
            <w:t>67</w:t>
          </w:r>
          <w:r>
            <w:fldChar w:fldCharType="end"/>
          </w:r>
        </w:p>
        <w:p>
          <w:pPr>
            <w:pStyle w:val="TOC2"/>
          </w:pPr>
          <w:hyperlink w:anchor="GS_TOC_040" w:history="1">
            <w:r>
              <w:t>二、反不正当竞争</w:t>
            </w:r>
          </w:hyperlink>
          <w:r>
            <w:tab/>
          </w:r>
          <w:r>
            <w:fldChar w:fldCharType="begin"/>
          </w:r>
          <w:r>
            <w:instrText xml:space="preserve"> PAGEREF GS_TOC_040 \h </w:instrText>
          </w:r>
          <w:r>
            <w:fldChar w:fldCharType="separate"/>
          </w:r>
          <w:r>
            <w:t>70</w:t>
          </w:r>
          <w:r>
            <w:fldChar w:fldCharType="end"/>
          </w:r>
        </w:p>
        <w:p>
          <w:pPr>
            <w:pStyle w:val="TOC2"/>
          </w:pPr>
          <w:hyperlink w:anchor="GS_TOC_041" w:history="1">
            <w:r>
              <w:t>三、风险管理</w:t>
            </w:r>
          </w:hyperlink>
          <w:r>
            <w:tab/>
          </w:r>
          <w:r>
            <w:fldChar w:fldCharType="begin"/>
          </w:r>
          <w:r>
            <w:instrText xml:space="preserve"> PAGEREF GS_TOC_041 \h </w:instrText>
          </w:r>
          <w:r>
            <w:fldChar w:fldCharType="separate"/>
          </w:r>
          <w:r>
            <w:t>72</w:t>
          </w:r>
          <w:r>
            <w:fldChar w:fldCharType="end"/>
          </w:r>
        </w:p>
        <w:p>
          <w:pPr>
            <w:pStyle w:val="TOC2"/>
          </w:pPr>
          <w:hyperlink w:anchor="GS_TOC_042" w:history="1">
            <w:r>
              <w:t>四、尽职调查</w:t>
            </w:r>
          </w:hyperlink>
          <w:r>
            <w:tab/>
          </w:r>
          <w:r>
            <w:fldChar w:fldCharType="begin"/>
          </w:r>
          <w:r>
            <w:instrText xml:space="preserve"> PAGEREF GS_TOC_042 \h </w:instrText>
          </w:r>
          <w:r>
            <w:fldChar w:fldCharType="separate"/>
          </w:r>
          <w:r>
            <w:t>75</w:t>
          </w:r>
          <w:r>
            <w:fldChar w:fldCharType="end"/>
          </w:r>
        </w:p>
        <w:p>
          <w:pPr>
            <w:pStyle w:val="TOC1"/>
          </w:pPr>
          <w:hyperlink w:anchor="GS_TOC_043" w:history="1">
            <w:r>
              <w:t>附录</w:t>
            </w:r>
          </w:hyperlink>
          <w:r>
            <w:tab/>
          </w:r>
          <w:r>
            <w:fldChar w:fldCharType="begin"/>
          </w:r>
          <w:r>
            <w:instrText xml:space="preserve"> PAGEREF GS_TOC_043 \h </w:instrText>
          </w:r>
          <w:r>
            <w:fldChar w:fldCharType="separate"/>
          </w:r>
          <w:r>
            <w:t>78</w:t>
          </w:r>
          <w:r>
            <w:fldChar w:fldCharType="end"/>
          </w:r>
        </w:p>
        <w:p>
          <w:pPr>
            <w:pStyle w:val="TOC2"/>
          </w:pPr>
          <w:hyperlink w:anchor="GS_TOC_044" w:history="1">
            <w:r>
              <w:t>一、ESG关键绩效表</w:t>
            </w:r>
          </w:hyperlink>
          <w:r>
            <w:tab/>
          </w:r>
          <w:r>
            <w:fldChar w:fldCharType="begin"/>
          </w:r>
          <w:r>
            <w:instrText xml:space="preserve"> PAGEREF GS_TOC_044 \h </w:instrText>
          </w:r>
          <w:r>
            <w:fldChar w:fldCharType="separate"/>
          </w:r>
          <w:r>
            <w:t>79</w:t>
          </w:r>
          <w:r>
            <w:fldChar w:fldCharType="end"/>
          </w:r>
        </w:p>
        <w:p>
          <w:pPr>
            <w:pStyle w:val="TOC2"/>
          </w:pPr>
          <w:hyperlink w:anchor="GS_TOC_045" w:history="1">
            <w:r>
              <w:t>二、索引表</w:t>
            </w:r>
          </w:hyperlink>
          <w:r>
            <w:tab/>
          </w:r>
          <w:r>
            <w:fldChar w:fldCharType="begin"/>
          </w:r>
          <w:r>
            <w:instrText xml:space="preserve"> PAGEREF GS_TOC_045 \h </w:instrText>
          </w:r>
          <w:r>
            <w:fldChar w:fldCharType="separate"/>
          </w:r>
          <w:r>
            <w:t>82</w:t>
          </w:r>
          <w:r>
            <w:fldChar w:fldCharType="end"/>
          </w:r>
        </w:p>
        <w:p>
          <w:pPr>
            <w:pStyle w:val="TOC2"/>
          </w:pPr>
          <w:hyperlink w:anchor="GS_TOC_046" w:history="1">
            <w:r>
              <w:t>三、读者反馈</w:t>
            </w:r>
          </w:hyperlink>
          <w:r>
            <w:tab/>
          </w:r>
          <w:r>
            <w:fldChar w:fldCharType="begin"/>
          </w:r>
          <w:r>
            <w:instrText xml:space="preserve"> PAGEREF GS_TOC_046 \h </w:instrText>
          </w:r>
          <w:r>
            <w:fldChar w:fldCharType="separate"/>
          </w:r>
          <w:r>
            <w:t>85</w:t>
          </w:r>
          <w:r>
            <w:fldChar w:fldCharType="end"/>
          </w:r>
        </w:p>
      </w:sdtContent>
    </w:sdt>
    <w:p>
      <w:pPr>
        <w:sectPr>
          <w:footerReference w:type="default" r:id="rId64"/>
          <w:pgSz w:w="11906" w:h="16838"/>
          <w:pgMar w:top="1134" w:right="1418" w:bottom="1134" w:left="1418" w:header="113" w:footer="284" w:gutter="0"/>
          <w:cols w:space="425"/>
          <w:docGrid w:type="lines" w:linePitch="312"/>
        </w:sectPr>
      </w:pPr>
    </w:p>
    <w:p>
      <w:pPr>
        <w:pStyle w:val="1"/>
      </w:pPr>
      <w:bookmarkStart w:id="1" w:name="GS_TOC_001"/>
      <w:r>
        <w:t>关于本报告</w:t>
      </w:r>
      <w:bookmarkEnd w:id="1"/>
    </w:p>
    <w:p>
      <w:pPr>
        <w:ind w:firstLineChars="200" w:firstLine="480"/>
      </w:pPr>
      <w:r>
        <w:t>晟原精密秉持可持续发展理念，关注各利益相关方的合理诉求，持续推进环境、社会及治理相关工作。本报告围绕公司可持续发展管理与重要议题实践，客观呈现报告期内相关管理安排、行动进展与绩效信息。</w:t>
      </w:r>
    </w:p>
    <w:p>
      <w:pPr>
        <w:pStyle w:val="2"/>
      </w:pPr>
      <w:bookmarkStart w:id="2" w:name="GS_TOC_002"/>
      <w:r>
        <w:t>一、报告范围</w:t>
      </w:r>
      <w:bookmarkEnd w:id="2"/>
    </w:p>
    <w:p>
      <w:pPr>
        <w:ind w:firstLineChars="200" w:firstLine="480"/>
      </w:pPr>
      <w:r>
        <w:t>本报告信息披露范围覆盖晟原精密电子股份有限公司及其下属子公司（简称“晟原精密”、“公司”或“我们”），与公司年度合并财务报表口径保持一致。当具体数据范围与报告范围不一致时，会在正文中注明。</w:t>
      </w:r>
    </w:p>
    <w:p>
      <w:pPr>
        <w:pStyle w:val="2"/>
      </w:pPr>
      <w:bookmarkStart w:id="3" w:name="GS_TOC_003"/>
      <w:r>
        <w:t>二、时间范围</w:t>
      </w:r>
      <w:bookmarkEnd w:id="3"/>
    </w:p>
    <w:p>
      <w:pPr>
        <w:ind w:firstLineChars="200" w:firstLine="480"/>
      </w:pPr>
      <w:r>
        <w:t>本报告为年度报告，报告时间范围为2025-01-01至2025-12-31。部分信息超出此范围的，已在对应报告位置予以说明。</w:t>
      </w:r>
    </w:p>
    <w:p>
      <w:pPr>
        <w:pStyle w:val="2"/>
      </w:pPr>
      <w:bookmarkStart w:id="4" w:name="GS_TOC_004"/>
      <w:r>
        <w:t>三、编制依据</w:t>
      </w:r>
      <w:bookmarkEnd w:id="4"/>
    </w:p>
    <w:p>
      <w:pPr>
        <w:ind w:firstLineChars="200" w:firstLine="480"/>
      </w:pPr>
      <w:r>
        <w:t>本报告主要遵循《上海证券交易所上市公司自律监管指引第14号——可持续发展报告（试行）》进行编制。同时参考了国际可持续准则理事会（ISSB）发布的《国际财务报告可持续披露准则第1号——可持续相关财务信息披露一般要求》和《国际财务报告可持续披露准则第2号——气候相关披露》，并响应联合国可持续发展目标（SDGs）。</w:t>
      </w:r>
    </w:p>
    <w:p>
      <w:pPr>
        <w:pStyle w:val="2"/>
      </w:pPr>
      <w:bookmarkStart w:id="5" w:name="GS_TOC_005"/>
      <w:r>
        <w:t>四、编制原则</w:t>
      </w:r>
      <w:bookmarkEnd w:id="5"/>
    </w:p>
    <w:p>
      <w:pPr>
        <w:ind w:firstLineChars="200" w:firstLine="480"/>
      </w:pPr>
      <w:r>
        <w:t>在编制本报告时，我们遵循“重要性、量化、平衡、一致性”的披露原则，并综合考量“准确性、清晰性、可比性、完整性、时效性、可验证性”等质量要求。</w:t>
      </w:r>
    </w:p>
    <w:p>
      <w:pPr>
        <w:pStyle w:val="aff"/>
        <w:numPr>
          <w:ilvl w:val="0"/>
          <w:numId w:val="50"/>
        </w:numPr>
      </w:pPr>
      <w:r>
        <w:t>重要性原则：围绕公司战略与利益相关方核心关切，识别环境、社会及治理领域的关键议题，优先披露对企业发展和社会影响重大的内容，确保报告聚焦核心价值与关键风险。</w:t>
      </w:r>
    </w:p>
    <w:p>
      <w:pPr>
        <w:pStyle w:val="aff"/>
        <w:numPr>
          <w:ilvl w:val="0"/>
          <w:numId w:val="50"/>
        </w:numPr>
      </w:pPr>
      <w:r>
        <w:t>平衡原则：客观披露企业在可持续发展中的积极成果与面临的挑战，不回避问题与不足，全面、平衡地呈现企业的责任履行状况，以诚恳的态度接受社会监督，持续改进不足。</w:t>
      </w:r>
    </w:p>
    <w:p>
      <w:pPr>
        <w:pStyle w:val="aff"/>
        <w:numPr>
          <w:ilvl w:val="0"/>
          <w:numId w:val="50"/>
        </w:numPr>
      </w:pPr>
      <w:r>
        <w:t>量化原则：在具备数据基础的领域，对关键ESG绩效采用量化指标呈现，并说明数据统计方法、口径与来源，为利益相关方提供直观、可对比的信息。</w:t>
      </w:r>
    </w:p>
    <w:p>
      <w:pPr>
        <w:pStyle w:val="aff"/>
        <w:numPr>
          <w:ilvl w:val="0"/>
          <w:numId w:val="50"/>
        </w:numPr>
      </w:pPr>
      <w:r>
        <w:t>一致性原则：保持数据统计口径、披露范围与表述方式的前后一致，若因准则更新或业务调整需变更，将在报告中明确说明变更原因与影响，保障信息的纵向可比性。</w:t>
      </w:r>
    </w:p>
    <w:p>
      <w:pPr>
        <w:pStyle w:val="2"/>
      </w:pPr>
      <w:bookmarkStart w:id="6" w:name="GS_TOC_006"/>
      <w:r>
        <w:t>五、报告获取及意见反馈</w:t>
      </w:r>
      <w:bookmarkEnd w:id="6"/>
    </w:p>
    <w:p>
      <w:pPr>
        <w:ind w:firstLineChars="200" w:firstLine="480"/>
      </w:pPr>
      <w:r>
        <w:t>本报告以独立报告形式发布，提供简体中文版本。若另行发布其他语言版本，如内容存在差异，以简体中文版为准。</w:t>
      </w:r>
    </w:p>
    <w:p>
      <w:pPr>
        <w:ind w:firstLineChars="200" w:firstLine="480"/>
      </w:pPr>
      <w:r>
        <w:t>如需获取本报告，或对本报告内容有任何垂询或改进建议，敬请通过邮箱esg@example-shengyuan.com与我们联络。</w:t>
      </w:r>
    </w:p>
    <w:p>
      <w:pPr>
        <w:ind w:firstLineChars="200" w:firstLine="480"/>
      </w:pPr>
      <w:r>
        <w:t>本报告于2026年4月经由董事会审议并批准发布。</w:t>
      </w:r>
    </w:p>
    <w:p>
      <w:pPr>
        <w:pStyle w:val="1"/>
      </w:pPr>
      <w:bookmarkStart w:id="7" w:name="GS_TOC_007"/>
      <w:r>
        <w:t>关于晟原精密</w:t>
      </w:r>
      <w:bookmarkEnd w:id="7"/>
    </w:p>
    <w:p>
      <w:pPr>
        <w:ind w:firstLineChars="200" w:firstLine="480"/>
      </w:pPr>
      <w:r>
        <w:t>晟原精密电子股份有限公司成立于2008年，注册地与主生产基地均位于江苏省苏州市工业园区。公司专注于精密电子元器件与连接器的研发、制造与销售。成立初期，公司以消费电子领域的精密冲压端子加工起步；2012年前后建立自有模具开发能力，逐步由来料加工转向自主设计制造；2015年起顺应下游电动化趋势进入新能源汽车零部件配套领域，并于2019年通过IATF 16949汽车质量管理体系认证，形成消费电子与新能源汽车并重的业务结构。近年来，公司进一步向工业控制与轨道交通等领域拓展。</w:t>
      </w:r>
    </w:p>
    <w:p>
      <w:pPr>
        <w:ind w:firstLineChars="200" w:firstLine="480"/>
      </w:pPr>
      <w:r>
        <w:t>公司主要产品覆盖高速连接器、精密冲压端子与精密结构件三大产品线。高速连接器主要用于消费电子产品数据传输和电源连接，具备高集成度与高接触可靠性；精密冲压端子采用自主模具开发，满足多样化、小批量与快交付需求；精密结构件通过注塑、金属冲压和表面处理等工艺，为客户提供功能性与防护性部件。公司主生产基地占地面积约3.2万平方米，年产能约2.8亿件。生产线自动化率约72%，人均产能较行业平均水平提高35%。在精密冲压工艺方面，0.3～1.0mm厚度范围内的冲压精度可控制在±0.05mm，新产品模具开发周期为8～12周。2025年度，公司订单交付量约2.41亿件，按时交付率达99.2%。</w:t>
      </w:r>
    </w:p>
    <w:p>
      <w:pPr>
        <w:ind w:firstLineChars="200" w:firstLine="480"/>
      </w:pPr>
      <w:r>
        <w:t>在市场与客户方面，消费电子与新能源汽车为公司两大主要应用市场，2025年度合计贡献约75%的营业收入，工业控制及其他领域约占25%。公司客户群体主要为境内外整机厂与车企一级供应商，市场区域覆盖华东、华北与珠三角等制造业集聚区。2025年度，公司活跃客户约68家，前三大客户营业收入贡献度约26%，客户结构相对均衡。同时，公司与主要原材料供应商建立了3～5年的中长期合作关系，2025年度活跃供应商共186家，供应链布局覆盖内地、港澳台地区及海外。</w:t>
      </w:r>
    </w:p>
    <w:p>
      <w:pPr>
        <w:ind w:firstLineChars="200" w:firstLine="480"/>
      </w:pPr>
      <w:r>
        <w:t>公司核心能力集中在精密模具开发与高一致性批量制造，设有产品研发中心与工艺创新中心，配备模具研发实验室与连接器性能测试室，具备尺寸检测、盐雾试验与插拔寿命等检验能力。截至2025年末，公司在册员工860人，其中研发、工程及技术人员占比42%。2025年度研发投入3900万元，重点投向新能源汽车用高温高可靠性连接器与精密冲压工艺自动化。公司已建立并持续运行ISO 9001质量管理体系、ISO 14001环境管理体系、ISO 45001职业健康安全管理体系与IATF 16949汽车质量管理体系。公司秉持精密制造与绿色低碳并重的经营理念，在满足客户质量与交付要求的同时，持续推进能源效率提升、废弃物资源化与供应链可持续管理。</w:t>
      </w:r>
    </w:p>
    <w:p>
      <w:pPr>
        <w:pStyle w:val="1"/>
      </w:pPr>
      <w:bookmarkStart w:id="8" w:name="GS_TOC_008"/>
      <w:r>
        <w:t>第一章 公司治理</w:t>
      </w:r>
      <w:bookmarkEnd w:id="8"/>
    </w:p>
    <w:p>
      <w:pPr>
        <w:pStyle w:val="2"/>
      </w:pPr>
      <w:bookmarkStart w:id="9" w:name="GS_TOC_009"/>
      <w:r>
        <w:t>一、治理架构与权责体系</w:t>
      </w:r>
      <w:bookmarkEnd w:id="9"/>
    </w:p>
    <w:p>
      <w:pPr>
        <w:ind w:firstLineChars="200" w:firstLine="480"/>
      </w:pPr>
      <w:commentRangeStart w:id="0"/>
      <w:r>
        <w:t>公司依照《中华人民共和国公司法》及《公司章程》建立由股东会、董事会、监事会与高级管理层组成的法人治理结构，各治理主体权责边界清晰、运行规范。股东会作为权力机构，依法行使重大事项审议及董监事选举等职权。董事会对股东会负责，决定公司经营计划、投资方案及内部管理机构设置等核心事项，成员专业背景涵盖制造、质量、财务与法律合规等领域。董事会下设审计、薪酬与考核、提名与公司治理等专门委员会，就财务监督、绩效考核、人员提名及治理体系评估等事项提供专业意见。监事会依法对公司财务及董事、高级管理人员履职情况进行监督。高级管理层在董事会授权范围内负责日常经营管理，组织实施董事会决议。公司设立专职内部审计部门，定期对重点业务领域开展审计并跟踪改进。</w:t>
      </w:r>
      <w:commentRangeEnd w:id="0"/>
      <w:r>
        <w:rPr>
          <w:rStyle w:val="CommentReference"/>
        </w:rPr>
        <w:commentReference w:id="0"/>
      </w:r>
    </w:p>
    <w:p>
      <w:pPr>
        <w:ind w:firstLineChars="200" w:firstLine="480"/>
      </w:pPr>
      <w:commentRangeStart w:id="1"/>
      <w:r>
        <w:t>公司将可持续发展理念融入公司治理体系，在董事会下设可持续发展委员会，作为负责可持续发展战略顶层设计、政策制定与监督评估的常设工作机构。委员会由总经理担任主任委员，下设可持续发展办公室以及环境与能源、员工与安全、供应链、合规与商业道德四个常设工作组。公司建立自下而上的信息汇总与自上而下的决策汇报机制，保障各项可持续发展议题的有效推进与落实，相关重大战略决策上报董事会批准后执行。</w:t>
      </w:r>
      <w:commentRangeEnd w:id="1"/>
      <w:r>
        <w:rPr>
          <w:rStyle w:val="CommentReference"/>
        </w:rPr>
        <w:commentReference w:id="1"/>
      </w:r>
    </w:p>
    <w:p>
      <w:pPr>
        <w:pStyle w:val="2"/>
      </w:pPr>
      <w:bookmarkStart w:id="10" w:name="GS_TOC_010"/>
      <w:r>
        <w:t>二、治理合规与透明度</w:t>
      </w:r>
      <w:bookmarkEnd w:id="10"/>
    </w:p>
    <w:p>
      <w:pPr>
        <w:ind w:firstLineChars="200" w:firstLine="480"/>
      </w:pPr>
      <w:r>
        <w:t>报告期内，公司治理体系运行稳健，全年共计召开董事会会议8次，董事出席率96，确保了重大决策的科学性与及时性。</w:t>
      </w:r>
    </w:p>
    <w:p>
      <w:pPr>
        <w:pStyle w:val="1"/>
      </w:pPr>
      <w:bookmarkStart w:id="11" w:name="GS_TOC_011"/>
      <w:r>
        <w:t>第二章 可持续发展治理</w:t>
      </w:r>
      <w:bookmarkEnd w:id="11"/>
    </w:p>
    <w:p>
      <w:pPr>
        <w:pStyle w:val="2"/>
      </w:pPr>
      <w:bookmarkStart w:id="12" w:name="GS_TOC_012"/>
      <w:r>
        <w:t>一、可持续发展战略</w:t>
      </w:r>
      <w:bookmarkEnd w:id="12"/>
    </w:p>
    <w:p>
      <w:pPr>
        <w:ind w:firstLineChars="200" w:firstLine="480"/>
      </w:pPr>
      <w:commentRangeStart w:id="2"/>
      <w:r>
        <w:t>晟原精密秉持“精密制造、绿色低碳、和谐发展”的经营理念，致力于在提供高质量、高可靠性精密电子元器件与连接器产品的同时，积极承担环境责任与社会责任。公司将可持续发展融入企业运营全局，坚持以人为本，围绕环保合规、职业健康、供应链管理等关键领域持续推进制度建设与流程完善，不断提升可持续发展管理水平。</w:t>
      </w:r>
      <w:commentRangeEnd w:id="2"/>
      <w:r>
        <w:rPr>
          <w:rStyle w:val="CommentReference"/>
        </w:rPr>
        <w:commentReference w:id="2"/>
      </w:r>
    </w:p>
    <w:p>
      <w:pPr>
        <w:ind w:firstLineChars="200" w:firstLine="480"/>
      </w:pPr>
      <w:commentRangeStart w:id="3"/>
      <w:r>
        <w:t>在战略推进与重点领域方面，公司聚焦环境、社会与治理三大维度，将环保认证、廉洁合规培训及供应链管理升级作为年度工作重点并稳步推进。公司关注员工权益，建立公平、透明且具竞争力的薪酬体系与员工发展通道，夯实可持续发展的人才基础。</w:t>
      </w:r>
      <w:commentRangeEnd w:id="3"/>
      <w:r>
        <w:rPr>
          <w:rStyle w:val="CommentReference"/>
        </w:rPr>
        <w:commentReference w:id="3"/>
      </w:r>
    </w:p>
    <w:p>
      <w:pPr>
        <w:ind w:firstLineChars="200" w:firstLine="480"/>
      </w:pPr>
      <w:commentRangeStart w:id="4"/>
      <w:r>
        <w:t>为保障战略有效实施，公司设立可持续发展委员会，由总经理担任主任委员，跨部门核心管理人员参与，统筹审议年度计划、监督工作推进并审核年度报告。委员会下设可持续发展办公室负责日常协调。面向后续发展，公司规划扩容光伏发电项目、试点能源管理体系认证、推动供应链协同共赢，并开展温室气体范围三排放数据口径研究，持续深化可持续发展实践。</w:t>
      </w:r>
      <w:commentRangeEnd w:id="4"/>
      <w:r>
        <w:rPr>
          <w:rStyle w:val="CommentReference"/>
        </w:rPr>
        <w:commentReference w:id="4"/>
      </w:r>
    </w:p>
    <w:p>
      <w:pPr>
        <w:pStyle w:val="2"/>
      </w:pPr>
      <w:bookmarkStart w:id="13" w:name="GS_TOC_013"/>
      <w:r>
        <w:t>二、可持续发展治理架构</w:t>
      </w:r>
      <w:bookmarkEnd w:id="13"/>
    </w:p>
    <w:p>
      <w:pPr>
        <w:ind w:firstLineChars="200" w:firstLine="480"/>
      </w:pPr>
      <w:commentRangeStart w:id="5"/>
      <w:r>
        <w:t>晟原精密建立由决策层、管理层与执行层构成的可持续发展治理架构，明确各层级职责分工与协同机制，保障可持续发展事务的有效推进。</w:t>
      </w:r>
      <w:commentRangeEnd w:id="5"/>
      <w:r>
        <w:rPr>
          <w:rStyle w:val="CommentReference"/>
        </w:rPr>
        <w:commentReference w:id="5"/>
      </w:r>
    </w:p>
    <w:p>
      <w:pPr>
        <w:ind w:firstLineChars="200" w:firstLine="480"/>
      </w:pPr>
      <w:commentRangeStart w:id="6"/>
      <w:r>
        <w:t>在决策层，董事会作为公司可持续发展事项的最高决策机构，负责审定可持续发展战略方向与年度目标，决策重大环境与社会议题相关投入，并审议年度可持续发展报告。董事会每年听取可持续发展工作专项汇报，重大事项由可持续发展委员会随时报告。</w:t>
      </w:r>
      <w:commentRangeEnd w:id="6"/>
      <w:r>
        <w:rPr>
          <w:rStyle w:val="CommentReference"/>
        </w:rPr>
        <w:commentReference w:id="6"/>
      </w:r>
    </w:p>
    <w:p>
      <w:pPr>
        <w:ind w:firstLineChars="200" w:firstLine="480"/>
      </w:pPr>
      <w:commentRangeStart w:id="7"/>
      <w:r>
        <w:t>在管理层，公司设立可持续发展委员会并向董事会报告。委员会由总经理担任主任委员，成员涵盖分管相关业务的副总经理及质量、人力资源、采购、法务合规等部门负责人。委员会负责将董事会确定的战略方向转化为年度重点工作，审议议题重要性评估结果、年度目标与实施计划，协调跨部门资源，并审核报告披露口径。</w:t>
      </w:r>
      <w:commentRangeEnd w:id="7"/>
      <w:r>
        <w:rPr>
          <w:rStyle w:val="CommentReference"/>
        </w:rPr>
        <w:commentReference w:id="7"/>
      </w:r>
    </w:p>
    <w:p>
      <w:pPr>
        <w:ind w:firstLineChars="200" w:firstLine="480"/>
      </w:pPr>
      <w:commentRangeStart w:id="8"/>
      <w:r>
        <w:t>在执行层，公司设立可持续发展办公室作为常设机构，负责统筹日常协调、数据收集核对、报告编制及行动项进展跟踪，按月向委员会汇总进展。办公室下设环境与能源、员工与安全、供应链、合规与商业道德四个专项工作组，由各业务条线主管牵头，按季度提交进展。各工作组按职责领域分工落实具体工作，可持续发展相关责任嵌入各业务条线的日常职责。数据归集实行“谁产生、谁负责”原则，由各数据来源指定提供人确保数据准确性，形成从目标决策到落地执行的协同机制。</w:t>
      </w:r>
      <w:commentRangeEnd w:id="8"/>
      <w:r>
        <w:rPr>
          <w:rStyle w:val="CommentReference"/>
        </w:rPr>
        <w:commentReference w:id="8"/>
      </w:r>
    </w:p>
    <w:p>
      <w:pPr>
        <w:pStyle w:val="2"/>
      </w:pPr>
      <w:bookmarkStart w:id="14" w:name="GS_TOC_014"/>
      <w:r>
        <w:t>三、利益相关方沟通</w:t>
      </w:r>
      <w:bookmarkEnd w:id="14"/>
    </w:p>
    <w:p>
      <w:pPr>
        <w:ind w:firstLineChars="200" w:firstLine="480"/>
      </w:pPr>
      <w:r>
        <w:t>利益相关方沟通有助于识别可持续发展议题的关注重点，并为持续完善相关管理提供参考。</w:t>
      </w:r>
    </w:p>
    <w:p>
      <w:pPr>
        <w:pStyle w:val="CaptionTable"/>
      </w:pPr>
      <w:r>
        <w:t>表1　利益相关方沟通与参与情况</w:t>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179"/>
        <w:gridCol w:w="3945"/>
        <w:gridCol w:w="3945"/>
      </w:tblGrid>
      <w:tr>
        <w:trPr>
          <w:tblHeader w:val="true"/>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利益相关方</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沟通议题</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沟通与参与方式</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政府及监管机构</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环境合规管理、污染物排放管理、废弃物管理、能源管理、水资源管理、生态系统与生物多样性保护、职业健康与安全、乡村振兴、科技伦理、产品质量与安全、数据安全与客户隐私保护、反商业贿赂与反贪污、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监管沟通、文件报送与函件往来、监督检查配合</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股东及投资者</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应对气候变化、人力资本发展、社会贡献、创新驱动、反商业贿赂与反贪污</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股东会、信息披露、投资者沟通</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客户</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促进循环经济、可持续供应链管理、科技伦理、创新驱动、产品质量与安全、客户服务质量管理、数据安全与客户隐私保护、反不正当竞争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客户走访、客服热线与在线渠道、满意度调查、投诉与反馈</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管理层</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环境合规管理、污染物排放管理、废弃物管理、促进循环经济、能源管理、水资源管理、生态系统与生物多样性保护、人力资本发展、职业健康与安全、社会贡献、可持续供应链管理、平等对待中小企业、科技伦理、创新驱动、产品质量与安全、客户服务质量管理、数据安全与客户隐私保护、反商业贿赂与反贪污、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经营管理会议、专题汇报、议题审议与决策</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员工</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环境合规管理、污染物排放管理、废弃物管理、能源管理、人力资本发展、职业健康与安全、科技伦理、创新驱动、客户服务质量管理、数据安全与客户隐私保护、反商业贿赂与反贪污、反不正当竞争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职工代表沟通、员工座谈、意见渠道、培训</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供应商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促进循环经济、职业健康与安全、可持续供应链管理、平等对待中小企业、产品质量与安全、反商业贿赂与反贪污、反不正当竞争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供应商会议、日常业务沟通、准入与评估、供应链协同改善</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合作伙伴</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促进循环经济、生态系统与生物多样性保护、乡村振兴、社会贡献、可持续供应链管理、平等对待中小企业、科技伦理、创新驱动、数据安全与客户隐私保护、反商业贿赂与反贪污、反不正当竞争</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业务会谈、行业交流、联合工作组、项目合作</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社区与公众</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应对气候变化、环境合规管理、污染物排放管理、废弃物管理、水资源管理、生态系统与生物多样性保护、乡村振兴、社会贡献、产品质量与安全</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社区走访、公众咨询、意见征集、社区共建</w:t>
            </w:r>
          </w:p>
        </w:tc>
      </w:tr>
    </w:tbl>
    <w:p>
      <w:pPr>
        <w:pStyle w:val="2"/>
      </w:pPr>
      <w:bookmarkStart w:id="15" w:name="GS_TOC_015"/>
      <w:r>
        <w:t>四、议题重要性评估</w:t>
      </w:r>
      <w:bookmarkEnd w:id="15"/>
    </w:p>
    <w:p>
      <w:pPr>
        <w:ind w:firstLineChars="200" w:firstLine="480"/>
      </w:pPr>
      <w:r>
        <w:t>重要性议题识别为可持续发展报告提供结构化参考，有助于聚焦关键领域并组织披露重点。本报告按适用的报告议题体系，对环境、社会及治理相关议题进行分类呈现。</w:t>
      </w:r>
    </w:p>
    <w:p>
      <w:pPr>
        <w:ind w:firstLineChars="200" w:firstLine="480"/>
      </w:pPr>
      <w:r>
        <w:t>报告结合所在行业特点和报告议题体系，形成本年度可持续发展议题清单，为后续可能开展的重要性评估及章节披露提供结构化参考。</w:t>
      </w:r>
    </w:p>
    <w:p>
      <w:pPr>
        <w:pStyle w:val="aff"/>
        <w:numPr>
          <w:ilvl w:val="0"/>
          <w:numId w:val="51"/>
        </w:numPr>
      </w:pPr>
      <w:r>
        <w:t>了解公司活动和业务关系背景：从经营活动与价值链各环节识别可持续发展相关影响，关注外部宏观政策、产业趋势与监管导向，梳理内外部重点利益相关方及其核心关切。</w:t>
      </w:r>
    </w:p>
    <w:p>
      <w:pPr>
        <w:pStyle w:val="aff"/>
        <w:numPr>
          <w:ilvl w:val="0"/>
          <w:numId w:val="51"/>
        </w:numPr>
      </w:pPr>
      <w:r>
        <w:t>建立议题清单：依据可持续信息披露规范，结合行业特点与同业对标，形成覆盖完整、结构清晰的可持续议题清单。</w:t>
      </w:r>
    </w:p>
    <w:p>
      <w:pPr>
        <w:pStyle w:val="aff"/>
        <w:numPr>
          <w:ilvl w:val="0"/>
          <w:numId w:val="51"/>
        </w:numPr>
      </w:pPr>
      <w:r>
        <w:t>议题重要性评估与确认：从影响重要性（影响的性质、状态、严重程度与可能性）与财务重要性（发生可能性、财务影响程度，并综合短/中/长期）两个维度评估。</w:t>
      </w:r>
    </w:p>
    <w:p>
      <w:pPr>
        <w:pStyle w:val="aff"/>
        <w:numPr>
          <w:ilvl w:val="0"/>
          <w:numId w:val="51"/>
        </w:numPr>
      </w:pPr>
      <w:r>
        <w:t>议题确认与呈现：设定重要性判定阈值，构建双重重要性矩阵，并在本报告中披露重要性议题评估结果。</w:t>
      </w:r>
    </w:p>
    <w:p>
      <w:pPr>
        <w:ind w:firstLineChars="200" w:firstLine="480"/>
      </w:pPr>
      <w:r>
        <w:t>2025年度议题重要性分析结果显示，公司最终确定共有23项议题具有双重重要性，0项仅具有财务重要性，1项仅具有影响重要性，0项既不具有财务重要性又不具有影响重要性。</w:t>
      </w:r>
    </w:p>
    <w:p>
      <w:pPr>
        <w:jc w:val="center"/>
      </w:pPr>
      <w:r>
        <w:drawing>
          <wp:inline xmlns:a="http://schemas.openxmlformats.org/drawingml/2006/main" xmlns:pic="http://schemas.openxmlformats.org/drawingml/2006/picture">
            <wp:extent cx="4680000" cy="4607852"/>
            <wp:docPr id="1" name="Picture 1"/>
            <wp:cNvGraphicFramePr>
              <a:graphicFrameLocks noChangeAspect="1"/>
            </wp:cNvGraphicFramePr>
            <a:graphic>
              <a:graphicData uri="http://schemas.openxmlformats.org/drawingml/2006/picture">
                <pic:pic>
                  <pic:nvPicPr>
                    <pic:cNvPr id="0" name="image.png"/>
                    <pic:cNvPicPr/>
                  </pic:nvPicPr>
                  <pic:blipFill>
                    <a:blip r:embed="rId67"/>
                    <a:stretch>
                      <a:fillRect/>
                    </a:stretch>
                  </pic:blipFill>
                  <pic:spPr>
                    <a:xfrm>
                      <a:off x="0" y="0"/>
                      <a:ext cx="4680000" cy="4607852"/>
                    </a:xfrm>
                    <a:prstGeom prst="rect"/>
                  </pic:spPr>
                </pic:pic>
              </a:graphicData>
            </a:graphic>
          </wp:inline>
        </w:drawing>
      </w:r>
    </w:p>
    <w:p>
      <w:pPr>
        <w:pStyle w:val="CaptionFigure"/>
      </w:pPr>
      <w:commentRangeStart w:id="9"/>
      <w:r>
        <w:t>图1　双重重要性议题矩阵</w:t>
      </w:r>
      <w:commentRangeEnd w:id="9"/>
      <w:r>
        <w:rPr>
          <w:rStyle w:val="CommentReference"/>
        </w:rPr>
        <w:commentReference w:id="9"/>
      </w:r>
    </w:p>
    <w:p>
      <w:pPr>
        <w:pStyle w:val="CaptionTable"/>
      </w:pPr>
      <w:r>
        <w:t>表2　重要性议题评估结果</w:t>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179"/>
        <w:gridCol w:w="3945"/>
        <w:gridCol w:w="3945"/>
      </w:tblGrid>
      <w:tr>
        <w:trPr>
          <w:tblHeader w:val="true"/>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议题维度</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议题名称</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重要性范畴</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环境合规管理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污染物排放管理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废弃物管理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促进循环经济</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能源管理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水资源管理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生态系统与生物多样性保护</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人力资本发展</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职业健康与安全</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乡村振兴</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社会贡献</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可持续供应链管理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平等对待中小企业</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科技伦理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创新驱动</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产品质量与安全</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客户服务质量管理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数据安全与客户隐私保护</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治理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反商业贿赂与反贪污</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治理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反不正当竞争</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治理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风险管理</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治理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尽职调查</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双重重要性</w:t>
            </w:r>
          </w:p>
        </w:tc>
      </w:tr>
      <w:tr>
        <w:trPr>
          <w:cantSplit/>
        </w:trPr>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治理</w:t>
            </w:r>
          </w:p>
        </w:tc>
        <w:tc>
          <w:tcPr>
            <w:tcW w:type="dxa" w:w="3945"/>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利益相关方沟通</w:t>
            </w:r>
          </w:p>
        </w:tc>
        <w:tc>
          <w:tcPr>
            <w:tcW w:type="dxa" w:w="3945"/>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影响重要性</w:t>
            </w:r>
          </w:p>
        </w:tc>
      </w:tr>
    </w:tbl>
    <w:p>
      <w:pPr>
        <w:ind w:firstLineChars="200" w:firstLine="480"/>
      </w:pPr>
      <w:r>
        <w:t>针对财务重要性和双重重要性议题，公司基于重要性评估结果，梳理晟原精密相关议题的影响、风险与机遇，并对不同议题情况予以汇总。</w:t>
      </w:r>
    </w:p>
    <w:p>
      <w:pPr>
        <w:pStyle w:val="CaptionTable"/>
      </w:pPr>
      <w:commentRangeStart w:id="10"/>
      <w:r>
        <w:t>表3　财务/双重重要性议题的影响、风险与机遇</w:t>
      </w:r>
      <w:commentRangeEnd w:id="10"/>
      <w:r>
        <w:rPr>
          <w:rStyle w:val="CommentReference"/>
        </w:rPr>
        <w:commentReference w:id="10"/>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088"/>
        <w:gridCol w:w="4081"/>
        <w:gridCol w:w="1360"/>
        <w:gridCol w:w="1632"/>
        <w:gridCol w:w="907"/>
      </w:tblGrid>
      <w:tr>
        <w:trPr>
          <w:tblHeader w:val="true"/>
        </w:trPr>
        <w:tc>
          <w:tcPr>
            <w:tcW w:type="dxa" w:w="1088"/>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议题</w:t>
            </w:r>
          </w:p>
        </w:tc>
        <w:tc>
          <w:tcPr>
            <w:tcW w:type="dxa" w:w="4081"/>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影响、风险与机遇描述</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分类</w:t>
            </w:r>
          </w:p>
        </w:tc>
        <w:tc>
          <w:tcPr>
            <w:tcW w:type="dxa" w:w="1633"/>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影响范围</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影响周期</w:t>
            </w: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应对气候变化</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公司在精密电子元器件制造过程中的能源消耗，以及上下游产业链的温室气体排放，可能对全球生态环境产生潜在的负面影响，加剧极端天气事件频率，对人类社会可持续发展构成潜在威胁。</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双碳目标推进及碳排放权交易市场扩容可能增加公司的合规与运营成本；同时，下游新能源汽车等客户对绿色低碳产品的需求增长，为公司开发低碳环保连接器及精密结构件、提升绿色竞争力带来市场机遇。</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环境合规管理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企业在精密电子元器件制造过程中，通过落实生态环境保护法律法规要求，有效控制废气、废水及固体废弃物的排放，有助于减少对周边生态环境的污染，降低对社区环境和居民健康的潜在负面影响，促进区域生态质量改善。</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严格落实各项生态环境保护要求，可避免因违规排放导致的行政处罚与停产整顿风险，保障生产连续性。同时，满足客户日益严格的绿色供应链标准，有助于获取新能源汽车及消费电子领域订单，提升市场竞争力。</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污染物排放管理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在精密电子元器件与连接器的冲压、表面处理及组装等生产过程中，可能产生废水、废气及固体废弃物。若管控不当，可能对周边水体、大气及土壤环境造成污染，进而影响当地生态环境质量与社区居民健康。</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环保法规趋严及客户对绿色供应链要求的提升，若排放管理不达标，可能面临合规处罚或客户流失等风险。同时，通过优化生产工艺与提升资源利用率，企业可降低合规成本并增强在绿色供应链中的竞争优势。</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废弃物管理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在精密电子元器件制造过程中，产生的冲压边角料、废切削液及包装物若未得到妥善分类与合规处置，可能对周边土壤、水体及生态环境造成污染，进而影响社区环境质量与公众健康。</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随着环保法规趋严，相关废料的合规处置成本可能上升，违规排放面临处罚风险；同时，通过优化材料利用率与推进资源化回收，有助于降低原材料采购成本，提升资源利用效率与绿色制造水平。</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促进循环经济</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通过优化材料使用效率与推进产品生命周期管理，减少资源消耗与废弃物产生，降低对原生资源的依赖，有助于生态环境保护与资源可持续利用。</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提升材料利用效率与推进产品可回收设计，有助于优化成本结构，满足客户对绿色供应链的期望，增强市场竞争力，并适应日益完善的循环经济法规要求。</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能源管理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精密电子元器件制造过程中的电力及化石能源消耗，若未得到有效控制，可能增加温室气体排放与自然资源消耗，对区域生态环境及应对气候变化目标产生潜在不利影响。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能源价格波动及碳排放管控趋严可能推高生产成本并带来合规压力；同时，通过优化用能结构、提升设备能效，有助于降低整体运营成本，增强在绿色低碳供应链中的市场竞争力。</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水资源管理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与连接器的生产及表面处理工序中，若用水及废水排放缺乏有效管控，可能导致局部水资源过度消耗，或使未经妥善处理的废水对周边水体环境造成压力，进而影响区域水生态与社区居民的生活环境。</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区域水资源短缺或环保监管趋严可能推高生产用水成本并带来合规风险，影响交付稳定性。同时，持续推进节水工艺优化与水循环利用，有助于降低运营成本、提升资源利用效率，并更好地满足客户对绿色供应链的期望。</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生态系统与生物多样性保护</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上游矿产开采及公司运营中的资源消耗与排放，若管控不当，可能对周边土壤、水体及区域自然生态造成潜在破坏，进而影响当地动植物栖息环境与生态平衡。</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生态监管趋严及供应链绿色要求提升，可能增加合规与原材料采购成本；同时，推进绿色采购与环保工艺改进，有助于提升资源利用效率，增强产品在注重可持续发展的客户中的竞争力。</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人力资本发展</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通过提供职业技能培训与职业发展通道，有助于提升区域劳动力整体素质与就业质量，为精密制造行业输送高素质技术人才，促进产业链人才生态的良性循环与可持续发展。</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持续提升员工专业技能有助于增强技术创新能力与生产效率，把握行业升级机遇；同时，人才梯队建设若滞后于业务扩张需求，可能面临核心技术人才流失及技能不匹配带来的运营效率波动风险。</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职业健康与安全</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精密冲压、注塑及组装工序涉及机械操作、噪声暴露与化学品接触，公司持续关注作业环境中的职业健康安全风险，逐步完善防护设施与作业规范，以降低员工在工作中遭受伤害或健康损害的可能性。</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职业健康安全管理水平直接影响员工稳定性与生产效率，持续提升相关管理能力有助于增强用工吸引力、降低人员流失，并满足客户对供应链合规性的审核要求。</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乡村振兴</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企业通过提供本地就业岗位、开展技能培训、参与志愿服务及提供物资支持等方式，助力改善乡村居民生活水平，促进区域经济发展与城乡均衡，为乡村全面振兴提供基础支持。</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积极参与乡村振兴有助于企业树立良好社会形象，增强员工归属感与社区认同，降低用工流失风险；同时顺应政策导向，可为企业在属地运营、供应链稳定及获取政策支持方面创造长期发展机遇。</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社会贡献</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企业在日常运营中，通过提供本地就业岗位、开展员工技能培训以及参与社区志愿服务与物资支持等方式，持续促进所在区域的经济发展与社会福祉，助力地方社会和谐与包容性增长。</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积极融入社区发展并支持区域经济建设，有助于企业树立良好的公众形象，增强员工归属感与凝聚力，从而为吸引和保留优秀人才、深化与本地利益相关方的互信合作创造有利条件，夯实稳健运营的基础。</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可持续供应链管理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通过引导上游供应商遵守环保、安全及劳工权益标准，有助于减少原材料加工过程中的资源消耗与环境污染，促进供应链整体劳工权益保障，推动产业链的绿色转型与社会责任履行。</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推进供应链可持续管理，有助于防范因供应商环保违规或劳工纠纷引发的断供风险，保障生产连续性；同时满足下游客户对绿色供应链的审核要求，提升市场竞争力，获取长期商业机遇。</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平等对待中小企业</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在采购与销售合作中遵循公平交易原则，保障中小微合作伙伴合法权益，有助于缓解其资金周转压力，促进产业链协同发展，维护良好的商业生态。</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公平合作有助于增强供应链韧性与市场拓展能力，降低合规及声誉风险；若存在账期过长或条款不公，可能引发合作方纠纷，影响物料交付与业务连续性。</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科技伦理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在精密电子元器件研发与制造过程中，遵循科技伦理有助于确保产品设计及应用符合社会道德与公共利益，防范技术滥用对社会公众造成的潜在负面影响，促进科技向善与行业可持续发展。</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在高速连接器等核心产品研发中，积极践行科技伦理有助于提升产品合规性与市场认可度，获取客户信任并拓展新能源汽车等高端市场；若忽视伦理审查，则可能面临产品合规风险、声誉受损及客户流失。</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创新驱动</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通过持续的技术研发与产品迭代，推动精密电子元器件行业的技术进步，为下游消费电子与新能源汽车产业提供更高效、可靠的连接解决方案，助力产业链整体技术升级与高质量发展。</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持续推进核心技术攻关与产品升级，有助于提升产品附加值与市场竞争力，把握下游产业升级带来的业务增长机遇；同时需积极应对行业技术快速迭代与市场竞争加剧带来的挑战。</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产品质量与安全</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精密电子元器件与连接器的制造水平直接关系到下游消费电子与新能源汽车终端设备的使用安全与可靠性。若产品存在缺陷，可能导致终端设备故障甚至引发安全事故，对消费者人身财产安全及社会公共安全造成潜在负面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高标准的产品有助于巩固公司在境内外整机厂与车企供应链中的地位，获取长期订单；反之，若制造水平未达要求，可能面临客户索赔、订单流失及声誉受损，从而对公司财务状况与持续经营能力构成风险。</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客户服务质量管理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通过提供专业、及时的技术支持与售后保障，有助于维护下游客户及终端用户的产品使用体验与运行安全，降低因产品异常导致的社会资源损耗，促进消费电子与新能源汽车产业链的平稳运行与协同发展。</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良好的客户服务反馈机制有助于公司及时捕捉市场需求变化与产品改进方向，增强客户黏性与品牌忠诚度；若响应不及时或处理不当，则可能引发客户流失、订单减少及商业纠纷，对经营业绩造成不利影响。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数据安全与客户隐私保护</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公司在研发、生产及客户服务过程中涉及客户技术图纸、产品规格及商业信息的处理，若数据管理措施不足，可能导致客户敏感信息泄露，对客户商业利益及市场竞争秩序造成不利影响。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公司持续推进数据安全管理体系建设，完善客户信息访问权限控制与传输加密机制，有助于增强客户信任，巩固与境内外整机厂及一级供应商的长期合作关系，拓展市场份额。</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反商业贿赂与反贪污</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在采购、生产及销售等环节中，不当利益输送可能破坏市场公平竞争环境，损害相关方合法权益，进而对行业健康生态与商业信任机制造成负面冲击。</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若合规管理不到位，公司可能面临监管处罚、声誉受损及订单流失等风险；反之，持续推进廉洁合规建设，有助于增强境内外客户与伙伴信任，从而把握更多商业合作机遇。</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反不正当竞争</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践行公平竞争原则有助于维护健康的市场秩序，保护同业与消费者合法权益，促进行业资源优化配置；若发生违规竞争行为，则可能破坏市场公平环境，损害其他经营者及公众利益。</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坚持合规经营有助于提升企业商业信誉，增强客户与合作伙伴信任，从而巩固市场地位；若涉及商业贿赂、虚假宣传或侵犯商业秘密等行为，将面临法律处罚、财务损失与声誉受损，对持续经营造成不利影响。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风险管理</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公司持续关注运营及供应链环节的风险管控，旨在降低潜在运营波动、安全事件或质量缺陷对上下游合作伙伴、消费者及周边社区造成的潜在损害，保障产业链生态的稳定与安全。</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建立健全的风险管控机制有助于公司有效识别并应对市场波动、供应链中断及合规要求变化等不确定性因素，提升整体抗风险能力与经营韧性，从而保障业务的连续性与长期稳健发展。</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r>
        <w:trPr>
          <w:cantSplit/>
        </w:trPr>
        <w:tc>
          <w:tcPr>
            <w:tcW w:type="dxa" w:w="1088"/>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尽职调查</w:t>
            </w: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系统性的合规审查有助于缓解供应链及业务伙伴在劳工、环保等方面的负面外部性，促进产业链规范发展，带来潜在正面效益；若审查机制缺失，则可能导致环境污染或权益受损等风险向外部环境溢出，造成潜在负面影响。</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潜在正面影响、潜在负面影响</w:t>
            </w:r>
          </w:p>
        </w:tc>
        <w:tc>
          <w:tcPr>
            <w:tcW w:type="dxa" w:w="1633"/>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907"/>
            <w:vMerge w:val="restart"/>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r>
      <w:tr>
        <w:trPr>
          <w:cantSplit/>
        </w:trPr>
        <w:tc>
          <w:tcPr>
            <w:tcW w:type="dxa" w:w="1088"/>
            <w:vMerge/>
          </w:tcPr>
          <w:p/>
        </w:tc>
        <w:tc>
          <w:tcPr>
            <w:tcW w:type="dxa" w:w="4081"/>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建立完善的合规审查机制，有助于公司提前识别供应链中断、违规处罚及声誉受损等风险，保障业务连续性；同时，满足客户日益严格的ESG要求，能提升市场竞争力，助力获取新能源汽车与消费电子领域优质客户的长期订单，带来发展机遇。</w:t>
            </w:r>
          </w:p>
        </w:tc>
        <w:tc>
          <w:tcPr>
            <w:tcW w:type="dxa" w:w="1360"/>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机遇、风险</w:t>
            </w:r>
          </w:p>
        </w:tc>
        <w:tc>
          <w:tcPr>
            <w:tcW w:type="dxa" w:w="1633"/>
            <w:vMerge/>
          </w:tcPr>
          <w:p/>
        </w:tc>
        <w:tc>
          <w:tcPr>
            <w:tcW w:type="dxa" w:w="907"/>
            <w:vMerge/>
          </w:tcPr>
          <w:p/>
        </w:tc>
      </w:tr>
    </w:tbl>
    <w:p>
      <w:pPr>
        <w:pStyle w:val="1"/>
      </w:pPr>
      <w:bookmarkStart w:id="16" w:name="GS_TOC_016"/>
      <w:r>
        <w:t>第三章 践行低碳转型与保护生态环境</w:t>
      </w:r>
      <w:bookmarkEnd w:id="16"/>
    </w:p>
    <w:p>
      <w:pPr>
        <w:pStyle w:val="2"/>
      </w:pPr>
      <w:bookmarkStart w:id="17" w:name="GS_TOC_017"/>
      <w:r>
        <w:t>一、应对气候变化</w:t>
      </w:r>
      <w:bookmarkEnd w:id="17"/>
    </w:p>
    <w:p>
      <w:pPr>
        <w:pStyle w:val="3"/>
      </w:pPr>
      <w:r>
        <w:t>（一）治理</w:t>
      </w:r>
    </w:p>
    <w:p>
      <w:pPr>
        <w:ind w:firstLineChars="200" w:firstLine="480"/>
      </w:pPr>
      <w:commentRangeStart w:id="11"/>
      <w:r>
        <w:t>公司通过定期会议机制对气候相关事项进行审议，对温室气体排放数据及环境目标完成情况开展确认与回顾。在管理职责方面，公司建立年度环境目标与指标体系，将能源消耗、温室气体排放等关键因素纳入目标管理，明确各项指标的控制要求与考核标准。</w:t>
      </w:r>
      <w:commentRangeEnd w:id="11"/>
      <w:r>
        <w:rPr>
          <w:rStyle w:val="CommentReference"/>
        </w:rPr>
        <w:commentReference w:id="11"/>
      </w:r>
    </w:p>
    <w:p>
      <w:pPr>
        <w:ind w:firstLineChars="200" w:firstLine="480"/>
      </w:pPr>
      <w:commentRangeStart w:id="12"/>
      <w:r>
        <w:t>在协调安排上，公司统筹范围一与范围二温室气体排放的核算与管理，持续推进排放数据体系完善。针对范围三排放，公司正在开展数据口径研究工作，为后续披露奠定基础。同时，公司关注气候相关前沿议题，计划开展气候风险情景分析等研究工作，持续提升气候治理水平。</w:t>
      </w:r>
      <w:commentRangeEnd w:id="12"/>
      <w:r>
        <w:rPr>
          <w:rStyle w:val="CommentReference"/>
        </w:rPr>
        <w:commentReference w:id="12"/>
      </w:r>
    </w:p>
    <w:p>
      <w:pPr>
        <w:pStyle w:val="3"/>
      </w:pPr>
      <w:r>
        <w:t>（二）战略</w:t>
      </w:r>
    </w:p>
    <w:p>
      <w:pPr>
        <w:ind w:firstLineChars="200" w:firstLine="480"/>
      </w:pPr>
      <w:commentRangeStart w:id="13"/>
      <w:r>
        <w:t>公司将“绿色低碳”融入经营理念，顺应低碳转型趋势与下游客户对绿色产品的需求，将节能减排与绿色技术创新作为应对气候变化的战略方向。研发端持续推进轻量化与绿色材料应用，深耕新能源汽车及节能减排相关技术，相关专利占比超40%。</w:t>
      </w:r>
      <w:commentRangeEnd w:id="13"/>
      <w:r>
        <w:rPr>
          <w:rStyle w:val="CommentReference"/>
        </w:rPr>
        <w:commentReference w:id="13"/>
      </w:r>
    </w:p>
    <w:p>
      <w:pPr>
        <w:ind w:firstLineChars="200" w:firstLine="480"/>
      </w:pPr>
      <w:commentRangeStart w:id="14"/>
      <w:r>
        <w:t>运营管理方面，公司通过优化能源结构与运输方式落实减碳战略。厂区部署装机容量680千瓦的屋顶光伏系统，提升清洁能源自用比例；产品运输环节逐步增加新能源物流车队比例，降低供应链碳排放。</w:t>
      </w:r>
      <w:commentRangeEnd w:id="14"/>
      <w:r>
        <w:rPr>
          <w:rStyle w:val="CommentReference"/>
        </w:rPr>
        <w:commentReference w:id="14"/>
      </w:r>
    </w:p>
    <w:p>
      <w:pPr>
        <w:ind w:firstLineChars="200" w:firstLine="480"/>
      </w:pPr>
      <w:commentRangeStart w:id="15"/>
      <w:r>
        <w:t>公司严格管控年度温室气体排放与能耗目标。2025年，范围一与范围二温室气体排放总量控制在39,200吨二氧化碳当量，同比下降1.0%；单位产值碳排放强度降至3.70吨二氧化碳当量/万元，优于行业平均水平，达成年度环境目标。</w:t>
      </w:r>
      <w:commentRangeEnd w:id="15"/>
      <w:r>
        <w:rPr>
          <w:rStyle w:val="CommentReference"/>
        </w:rPr>
        <w:commentReference w:id="15"/>
      </w:r>
    </w:p>
    <w:p>
      <w:pPr>
        <w:ind w:firstLineChars="200" w:firstLine="480"/>
      </w:pPr>
      <w:r>
        <w:t>本章基于公司对气候相关风险、机遇和目标状态的确认，围绕可能影响及管理方向进行披露。相关风险与机遇的方向性分析如下：</w:t>
      </w:r>
    </w:p>
    <w:p>
      <w:pPr>
        <w:pStyle w:val="CaptionTable"/>
      </w:pPr>
      <w:commentRangeStart w:id="16"/>
      <w:r>
        <w:t>表4　气候相关物理风险及应对措施</w:t>
      </w:r>
      <w:commentRangeEnd w:id="16"/>
      <w:r>
        <w:rPr>
          <w:rStyle w:val="CommentReference"/>
        </w:rPr>
        <w:commentReference w:id="16"/>
      </w:r>
    </w:p>
    <w:tbl>
      <w:tblPr>
        <w:tblW w:type="dxa" w:w="9069"/>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295"/>
        <w:gridCol w:w="1295"/>
        <w:gridCol w:w="1295"/>
        <w:gridCol w:w="1295"/>
        <w:gridCol w:w="1295"/>
        <w:gridCol w:w="1295"/>
        <w:gridCol w:w="1295"/>
      </w:tblGrid>
      <w:tr>
        <w:trPr>
          <w:tblHeader w:val="true"/>
        </w:trPr>
        <w:tc>
          <w:tcPr>
            <w:tcW w:type="dxa" w:w="9072"/>
            <w:gridSpan w:val="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物理风险</w:t>
            </w:r>
          </w:p>
        </w:tc>
      </w:tr>
      <w:tr>
        <w:trPr>
          <w:tblHeader w:val="true"/>
        </w:trPr>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风险类型</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风险名称</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影响时限</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应对及管理措施</w:t>
            </w:r>
          </w:p>
        </w:tc>
      </w:tr>
      <w:tr>
        <w:trPr>
          <w:cantSplit/>
        </w:trPr>
        <w:tc>
          <w:tcPr>
            <w:tcW w:type="dxa" w:w="129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急性风险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台风</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台风等极端大风天气可能对精密电子元器件生产厂房及仓储设施造成物理影响，引发阶段性停工并影响对下游整机厂的稳定交付。</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收入减少、成本上升、资产减值</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关注气象预警信息并跟踪极端天气发展趋势；加强生产设施与仓储环境的日常维护与抗风能力评估；适度完善极端天气下的生产调度与资源统筹。</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暴雨</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短时强降水可能引发厂区及周边区域积水，影响精密冲压端子等原材料及成品的仓储安全，并干扰物流运输导致供应链交付延迟。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上游价值链、公司运营、下游价值链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成本上升、资产减值</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关注极端降水气象预报及区域水文变化；优化厂区排水系统与物资存放区域的日常管理；加强物流运输环节的跟踪与交付进度的动态统筹。</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极端高温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持续极端高温天气易引发区域性电力负荷受限，可能导致精密制造产线产能波动，同时增加车间环境控制与设备冷却的能源消耗。</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成本上升、收入减少</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跟踪区域电力供应政策与迎峰度夏安排；优化生产车间温控系统与高耗能设备的运行策略；加强高温时段员工健康防护与生产班次的灵活调度。</w:t>
            </w:r>
          </w:p>
        </w:tc>
      </w:tr>
      <w:tr>
        <w:trPr>
          <w:cantSplit/>
        </w:trPr>
        <w:tc>
          <w:tcPr>
            <w:tcW w:type="dxa" w:w="129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慢性风险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海平面上升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长期海平面上升及伴随的沿海水文变化，可能对位于相关区域的制造基地及仓储设施带来长期的环境压力，增加资产防护与运维难度。</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资本支出增加、资产减值</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关注区域海平面长期演变趋势及潜在水文影响；加强现有运营设施环境适应性的综合评估；在后续产能布局规划中适度考量气候韧性因素。</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降水和温度的变化</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长期气温与降水模式的渐进性改变，可能加速室外设施与管网的老化损耗，增加季节性气候异常对精密电子元器件连续生产的干扰。</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成本上升、资本支出增加</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跟踪长期气候环境变化对制造运营的基础性影响；优化厂房及配套设施的维护保养周期与标准；适度提升关键生产环境对温湿度波动的适应能力。</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生物多样性丧失和土壤生产力变化</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区域自然生态环境稳定性下降可能削弱自然防灾缓冲能力，间接增加极端气候事件发生频率，并对公司产业链的生态合规管理提出更高要求。</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关注区域生态环境变化及自然防灾能力的长期演变；加强运营周边生态环境的日常维护；适度提升产业链对生态合规要求的关注与响应。</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水短缺</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区域性水资源供给趋紧可能限制精密制造过程中的清洗与冷却等基础用水需求，增加水资源获取成本，极端情况下将制约产能释放。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成本上升、收入减少</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跟踪区域水资源供需形势及供水政策变化；优化生产工艺中的用水效率与循环利用水平；加强日常用水管理并逐步提升水资源集约化利用能力。</w:t>
            </w:r>
          </w:p>
        </w:tc>
      </w:tr>
    </w:tbl>
    <w:p>
      <w:r>
        <w:rPr>
          <w:i/>
          <w:color w:val="404040"/>
          <w:sz w:val="16"/>
        </w:rPr>
        <w:t>注：表中财务影响为方向性分析，不构成对公司经营结果、财务表现或风险发生情况的预测。影响时限：短期为报告期结束后1年以内（含1年）；中期为报告期结束后1—5年（含5年）；长期为报告期结束后5年以上。</w:t>
      </w:r>
    </w:p>
    <w:p>
      <w:pPr>
        <w:pStyle w:val="CaptionTable"/>
      </w:pPr>
      <w:commentRangeStart w:id="17"/>
      <w:r>
        <w:t>表5　气候相关转型风险及应对措施</w:t>
      </w:r>
      <w:commentRangeEnd w:id="17"/>
      <w:r>
        <w:rPr>
          <w:rStyle w:val="CommentReference"/>
        </w:rPr>
        <w:commentReference w:id="17"/>
      </w:r>
    </w:p>
    <w:tbl>
      <w:tblPr>
        <w:tblW w:type="dxa" w:w="9069"/>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295"/>
        <w:gridCol w:w="1295"/>
        <w:gridCol w:w="1295"/>
        <w:gridCol w:w="1295"/>
        <w:gridCol w:w="1295"/>
        <w:gridCol w:w="1295"/>
        <w:gridCol w:w="1295"/>
      </w:tblGrid>
      <w:tr>
        <w:trPr>
          <w:tblHeader w:val="true"/>
        </w:trPr>
        <w:tc>
          <w:tcPr>
            <w:tcW w:type="dxa" w:w="9072"/>
            <w:gridSpan w:val="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转型风险</w:t>
            </w:r>
          </w:p>
        </w:tc>
      </w:tr>
      <w:tr>
        <w:trPr>
          <w:tblHeader w:val="true"/>
        </w:trPr>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风险类型</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风险名称</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影响时限</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应对及管理措施</w:t>
            </w:r>
          </w:p>
        </w:tc>
      </w:tr>
      <w:tr>
        <w:trPr>
          <w:cantSplit/>
        </w:trPr>
        <w:tc>
          <w:tcPr>
            <w:tcW w:type="dxa" w:w="129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政策风险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碳定价与排放监管政策变化</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随着碳排放权交易市场扩容及排放监管趋严，公司在精密电子元器件制造过程中的能源消耗与排放可能面临更高的合规要求，进而增加日常运营与合规成本。</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公司持续关注国家及地方碳排放监管政策动态；评估政策变化对现有生产运营模式的影响；逐步完善内部排放数据收集与核算基础工作。</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气候相关诉讼风险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若公司在气候信息披露、环境合规及减排目标达成方面未能满足日益严格的监管与公众期望，可能面临相关方质询或调查，对正常经营秩序与商业信誉产生不利影响。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成本上升、融资成本上升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公司关注气候相关法规及信息披露要求的演进趋势；评估自身在环境合规与信息披露方面的潜在风险敞口；逐步提升气候相关信息的透明度与披露质量。</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技术风险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低碳技术替代与转型风险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低碳节能技术在电子元器件制造领域的研发与应用加速，若公司未能及时跟进生产工艺与设备的低碳化升级，现有生产模式可能面临技术替代与市场竞争力下降的风险。</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成本上升、资产减值、收入减少</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公司关注精密制造领域低碳节能技术的发展趋势；评估现有生产工艺与设备的能效水平及升级潜力；逐步推进生产环节的节能降耗技术改造与工艺优化。</w:t>
            </w:r>
          </w:p>
        </w:tc>
      </w:tr>
      <w:tr>
        <w:trPr>
          <w:cantSplit/>
        </w:trPr>
        <w:tc>
          <w:tcPr>
            <w:tcW w:type="dxa" w:w="129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市场风险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消费者偏好转变风险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下游消费电子与新能源汽车客户对绿色低碳产品的采购偏好持续增强，若公司产品的环境表现未能契合市场向可持续方向转变的需求，可能导致市场份额与业务订单下滑。</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下游价值链、公司运营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收入减少</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公司关注下游整机厂与车企客户在供应链可持续发展方面的需求变化；评估现有产品体系在绿色低碳方面的市场竞争力；逐步提升产品的环境友好属性与综合竞争力。</w:t>
            </w:r>
          </w:p>
        </w:tc>
      </w:tr>
      <w:tr>
        <w:trPr>
          <w:cantSplit/>
        </w:trPr>
        <w:tc>
          <w:tcPr>
            <w:tcW w:type="dxa" w:w="1296"/>
            <w:vMerge/>
          </w:tcP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原材料成本与资产定价波动风险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气候政策趋严可能推高金属等基础原材料及能源价格，同时高碳资产估值逻辑面临调整，公司在精密制造过程中的物料采购成本及现有相关资产价值可能面临波动风险。</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上游价值链、公司运营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成本上升、资产减值</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公司关注大宗商品及能源市场价格波动对供应链成本的影响；评估气候政策对现有高耗能资产估值及使用寿命的潜在影响；逐步优化供应链管理与资产运营效率。</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声誉风险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气候相关声誉受损风险</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若公司在温室气体减排、资源节约及应对气候变化方面的实际表现未能达到投资者、客户及公众的期望，可能引发利益相关方的负面评价，导致品牌声誉受损及评级下调。</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收入减少、融资成本上升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公司关注利益相关方对制造业企业气候行动与可持续发展的期望；评估自身在环境绩效与社会责任履行方面的表现；逐步完善气候治理体系并加强与各方的沟通。</w:t>
            </w:r>
          </w:p>
        </w:tc>
      </w:tr>
    </w:tbl>
    <w:p>
      <w:r>
        <w:rPr>
          <w:i/>
          <w:color w:val="404040"/>
          <w:sz w:val="16"/>
        </w:rPr>
        <w:t>注：表中财务影响为方向性分析，不构成对公司经营结果、财务表现或风险发生情况的预测。影响时限：短期为报告期结束后1年以内（含1年）；中期为报告期结束后1—5年（含5年）；长期为报告期结束后5年以上。</w:t>
      </w:r>
    </w:p>
    <w:p>
      <w:pPr>
        <w:pStyle w:val="CaptionTable"/>
      </w:pPr>
      <w:commentRangeStart w:id="18"/>
      <w:r>
        <w:t>表6　气候相关机遇及应对措施</w:t>
      </w:r>
      <w:commentRangeEnd w:id="18"/>
      <w:r>
        <w:rPr>
          <w:rStyle w:val="CommentReference"/>
        </w:rPr>
        <w:commentReference w:id="18"/>
      </w:r>
    </w:p>
    <w:tbl>
      <w:tblPr>
        <w:tblW w:type="dxa" w:w="9069"/>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295"/>
        <w:gridCol w:w="1295"/>
        <w:gridCol w:w="1295"/>
        <w:gridCol w:w="1295"/>
        <w:gridCol w:w="1295"/>
        <w:gridCol w:w="1295"/>
        <w:gridCol w:w="1295"/>
      </w:tblGrid>
      <w:tr>
        <w:trPr>
          <w:tblHeader w:val="true"/>
        </w:trPr>
        <w:tc>
          <w:tcPr>
            <w:tcW w:type="dxa" w:w="9072"/>
            <w:gridSpan w:val="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气候相关机遇</w:t>
            </w:r>
          </w:p>
        </w:tc>
      </w:tr>
      <w:tr>
        <w:trPr>
          <w:tblHeader w:val="true"/>
        </w:trPr>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机遇类型</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机遇名称</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影响时限</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应对及管理措施</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资源效率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运营资源效率提升机遇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精密电子元器件制造涉及能源消耗与资源使用，通过优化生产流程和提升资源利用效率，可降低运营成本并增强可持续发展能力。</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成本下降</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关注生产工艺的持续优化，提升能源与物资使用效率；探索资源循环利用模式，降低单位产值资源消耗。</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产品服务</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低碳产品方案开发机遇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下游新能源汽车等产业对轻量化、低排放精密连接器的需求持续增长，为公司开发绿色产品提供了市场空间。</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公司运营、下游价值链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收入增加</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关注下游市场对低碳属性的需求趋势；探索轻量化与绿色材料在产品研发中的应用方向。</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市场</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低碳转型新市场与绿色金融机遇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双碳目标推进带动低碳经济相关产业发展，为公司拓展新兴市场提供机遇，同时绿色金融政策环境的变化可能带来融资方面的积极影响。</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下游价值链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收入增加、融资成本下降</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关注低碳经济转型带来的市场需求变化；探索绿色金融工具的应用可能性。</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能源来源</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能源绿色转型</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清洁能源技术的发展与应用有助于优化能源结构，降低对传统能源的依赖，减少能源成本与碳排放。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成本下降</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关注清洁能源技术的发展趋势；优化能源使用结构，提升清洁能源在运营中的应用比例。</w:t>
            </w:r>
          </w:p>
        </w:tc>
      </w:tr>
      <w:tr>
        <w:trPr>
          <w:cantSplit/>
        </w:trPr>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适应力</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气候适应能力建设与运营优化机遇</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气候变化带来的极端天气事件可能对制造业运营产生影响，提升气候适应能力有助于保障生产连续性并降低潜在风险。</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公司运营、上游价值链</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1296"/>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成本下降</w:t>
            </w:r>
          </w:p>
        </w:tc>
        <w:tc>
          <w:tcPr>
            <w:tcW w:type="dxa" w:w="129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关注气候变化对运营的潜在影响；提升基础设施的气候适应能力，优化生产布局以增强运营韧性。</w:t>
            </w:r>
          </w:p>
        </w:tc>
      </w:tr>
    </w:tbl>
    <w:p>
      <w:r>
        <w:rPr>
          <w:i/>
          <w:color w:val="404040"/>
          <w:sz w:val="16"/>
        </w:rPr>
        <w:t>注：影响时限：短期为报告期结束后1年以内（含1年）；中期为报告期结束后1—5年（含5年）；长期为报告期结束后5年以上。</w:t>
      </w:r>
    </w:p>
    <w:p>
      <w:pPr>
        <w:pStyle w:val="3"/>
      </w:pPr>
      <w:r>
        <w:t>（三）影响、风险与机遇管理</w:t>
      </w:r>
    </w:p>
    <w:p>
      <w:pPr>
        <w:pStyle w:val="4"/>
      </w:pPr>
      <w:r>
        <w:t>1. 气候管理目标体系与运维规范</w:t>
      </w:r>
    </w:p>
    <w:p>
      <w:pPr>
        <w:ind w:firstLineChars="200" w:firstLine="480"/>
      </w:pPr>
      <w:commentRangeStart w:id="19"/>
      <w:r>
        <w:t>在年度环境目标框架下，公司细化能源消耗、水资源利用、废弃物处置及废气排放等控制限值，并设立边角料回收率与光伏自用量等清洁生产专项指标，构建多维度的气候与环境管理目标矩阵。</w:t>
      </w:r>
      <w:commentRangeEnd w:id="19"/>
      <w:r>
        <w:rPr>
          <w:rStyle w:val="CommentReference"/>
        </w:rPr>
        <w:commentReference w:id="19"/>
      </w:r>
    </w:p>
    <w:p>
      <w:pPr>
        <w:ind w:firstLineChars="200" w:firstLine="480"/>
      </w:pPr>
      <w:commentRangeStart w:id="20"/>
      <w:r>
        <w:t>针对清洁能源设施，公司建立跨部门协同与专业化运维机制。后勤部门承担日常巡检与基础维护，执行定期目视检查、面板清洁及雨后接地安全排查；核心设备由原厂技术人员进行年度专业保养。公司确立清洁能源优先自用原则，制定设备故障快速响应规范，确保异常情况24小时内完成修复或启动备用方案。</w:t>
      </w:r>
      <w:commentRangeEnd w:id="20"/>
      <w:r>
        <w:rPr>
          <w:rStyle w:val="CommentReference"/>
        </w:rPr>
        <w:commentReference w:id="20"/>
      </w:r>
    </w:p>
    <w:p>
      <w:pPr>
        <w:ind w:firstLineChars="200" w:firstLine="480"/>
      </w:pPr>
      <w:commentRangeStart w:id="21"/>
      <w:r>
        <w:t>在数据核算方面，公司依托云平台实现发电数据实时采集与日汇总，执行月度电量核对与年度供电对账机制，准确分离自用与上网电量，保障气候相关能源数据的完整性与可追溯性。</w:t>
      </w:r>
      <w:commentRangeEnd w:id="21"/>
      <w:r>
        <w:rPr>
          <w:rStyle w:val="CommentReference"/>
        </w:rPr>
        <w:commentReference w:id="21"/>
      </w:r>
    </w:p>
    <w:p>
      <w:pPr>
        <w:pStyle w:val="3"/>
      </w:pPr>
      <w:r>
        <w:t>（四）指标与目标</w:t>
      </w:r>
    </w:p>
    <w:p>
      <w:pPr>
        <w:jc w:val="center"/>
      </w:pPr>
      <w:commentRangeStart w:id="22"/>
      <w:r>
        <w:drawing>
          <wp:inline xmlns:a="http://schemas.openxmlformats.org/drawingml/2006/main" xmlns:pic="http://schemas.openxmlformats.org/drawingml/2006/picture">
            <wp:extent cx="5760000" cy="1008000"/>
            <wp:docPr id="2" name="Picture 2"/>
            <wp:cNvGraphicFramePr>
              <a:graphicFrameLocks noChangeAspect="1"/>
            </wp:cNvGraphicFramePr>
            <a:graphic>
              <a:graphicData uri="http://schemas.openxmlformats.org/drawingml/2006/picture">
                <pic:pic>
                  <pic:nvPicPr>
                    <pic:cNvPr id="0" name="image.png"/>
                    <pic:cNvPicPr/>
                  </pic:nvPicPr>
                  <pic:blipFill>
                    <a:blip r:embed="rId68"/>
                    <a:stretch>
                      <a:fillRect/>
                    </a:stretch>
                  </pic:blipFill>
                  <pic:spPr>
                    <a:xfrm>
                      <a:off x="0" y="0"/>
                      <a:ext cx="5760000" cy="1008000"/>
                    </a:xfrm>
                    <a:prstGeom prst="rect"/>
                  </pic:spPr>
                </pic:pic>
              </a:graphicData>
            </a:graphic>
          </wp:inline>
        </w:drawing>
      </w:r>
      <w:commentRangeEnd w:id="22"/>
      <w:r>
        <w:rPr>
          <w:rStyle w:val="CommentReference"/>
        </w:rPr>
        <w:commentReference w:id="22"/>
      </w:r>
    </w:p>
    <w:p>
      <w:pPr>
        <w:pStyle w:val="2"/>
      </w:pPr>
      <w:bookmarkStart w:id="18" w:name="GS_TOC_018"/>
      <w:r>
        <w:t>二、环境合规管理</w:t>
      </w:r>
      <w:bookmarkEnd w:id="18"/>
    </w:p>
    <w:p>
      <w:pPr>
        <w:pStyle w:val="3"/>
      </w:pPr>
      <w:r>
        <w:t>（一）治理</w:t>
      </w:r>
    </w:p>
    <w:p>
      <w:pPr>
        <w:ind w:firstLineChars="200" w:firstLine="480"/>
      </w:pPr>
      <w:commentRangeStart w:id="23"/>
      <w:r>
        <w:t>公司依据国家及地方生态环境保护法律法规，建立健全环境管理制度体系，并持续运行ISO 14001环境管理体系，于2025年完成该体系的修订与认证续展审查。</w:t>
      </w:r>
      <w:commentRangeEnd w:id="23"/>
      <w:r>
        <w:rPr>
          <w:rStyle w:val="CommentReference"/>
        </w:rPr>
        <w:commentReference w:id="23"/>
      </w:r>
    </w:p>
    <w:p>
      <w:pPr>
        <w:ind w:firstLineChars="200" w:firstLine="480"/>
      </w:pPr>
      <w:commentRangeStart w:id="24"/>
      <w:r>
        <w:t>在责任安排方面，公司明确各层级环境管理职责。EHS部负责日常环保监督管理、制定年度环保工作计划并建立环保台账；生产部负责过程污染源控制及环保设施运行维护；采购部建立供应商环保清单并实施违规黑名单管理；可持续发展办公室统筹环保宣传与协调上报工作。</w:t>
      </w:r>
      <w:commentRangeEnd w:id="24"/>
      <w:r>
        <w:rPr>
          <w:rStyle w:val="CommentReference"/>
        </w:rPr>
        <w:commentReference w:id="24"/>
      </w:r>
    </w:p>
    <w:p>
      <w:pPr>
        <w:ind w:firstLineChars="200" w:firstLine="480"/>
      </w:pPr>
      <w:commentRangeStart w:id="25"/>
      <w:r>
        <w:t>在监督方式方面，公司建立常态化环境监测与数据管理机制。委托具备资质的第三方机构每月开展废气检测，废水经三级处理并进行月度合规检测，危险废弃物转移实行100%联单覆盖。环境数据实行电子与纸质双重归档及每月定期备份，针对异常数据开展根本原因分析并落实纠正措施，确保各项污染物排放持续符合国家及地方标准。</w:t>
      </w:r>
      <w:commentRangeEnd w:id="25"/>
      <w:r>
        <w:rPr>
          <w:rStyle w:val="CommentReference"/>
        </w:rPr>
        <w:commentReference w:id="25"/>
      </w:r>
    </w:p>
    <w:p>
      <w:pPr>
        <w:pStyle w:val="3"/>
      </w:pPr>
      <w:r>
        <w:t>（二）战略</w:t>
      </w:r>
    </w:p>
    <w:p>
      <w:pPr>
        <w:ind w:firstLineChars="200" w:firstLine="480"/>
      </w:pPr>
      <w:commentRangeStart w:id="26"/>
      <w:r>
        <w:t>公司将“绿色低碳”融入经营理念，作为长期可持续发展的核心导向。在环境合规战略上，公司重点关注精密电子元器件制造全周期的生态环境保护，持续强化各类污染物的合规管控与风险防范，以保障生产连续性，并积极响应客户日益严格的绿色供应链标准，巩固市场竞争力。</w:t>
      </w:r>
      <w:commentRangeEnd w:id="26"/>
      <w:r>
        <w:rPr>
          <w:rStyle w:val="CommentReference"/>
        </w:rPr>
        <w:commentReference w:id="26"/>
      </w:r>
    </w:p>
    <w:p>
      <w:pPr>
        <w:ind w:firstLineChars="200" w:firstLine="480"/>
      </w:pPr>
      <w:commentRangeStart w:id="27"/>
      <w:r>
        <w:t>在推进原则方面，公司坚持制度先行与流程优化，近年来持续深化环境管理制度建设与合规流程完善，将绿色制造设施运行要求纳入体系管理。同时，公司积极拓展管理体系边界，已启动ISO 50001能源管理体系认证筹备工作，推动环境合规向能源协同管控延伸，不断提升长期合规经营水平与绿色发展能力。</w:t>
      </w:r>
      <w:commentRangeEnd w:id="27"/>
      <w:r>
        <w:rPr>
          <w:rStyle w:val="CommentReference"/>
        </w:rPr>
        <w:commentReference w:id="27"/>
      </w:r>
    </w:p>
    <w:p>
      <w:pPr>
        <w:pStyle w:val="3"/>
      </w:pPr>
      <w:r>
        <w:t>（三）影响、风险与机遇管理</w:t>
      </w:r>
    </w:p>
    <w:p>
      <w:pPr>
        <w:ind w:firstLineChars="200" w:firstLine="480"/>
      </w:pPr>
      <w:commentRangeStart w:id="28"/>
      <w:r>
        <w:t>公司针对金属冲压、冷却液循环等核心生产环节识别重要环境因素，建立超标预警机制，确保监测数据于24小时内录入系统并归档保存不少于3年。在日常运行中，EHS主管每月开展环保自查巡检，聚焦污染治理设施运行与废弃物规范处置，对不符合项限期整改闭环。</w:t>
      </w:r>
      <w:commentRangeEnd w:id="28"/>
      <w:r>
        <w:rPr>
          <w:rStyle w:val="CommentReference"/>
        </w:rPr>
        <w:commentReference w:id="28"/>
      </w:r>
    </w:p>
    <w:p>
      <w:pPr>
        <w:ind w:firstLineChars="200" w:firstLine="480"/>
      </w:pPr>
      <w:commentRangeStart w:id="29"/>
      <w:r>
        <w:t>在固体废弃物精细化管理方面，公司建立危险废弃物处置单位库，锁定3家具备相应资质的处置企业，对废矿物油等危险废物实施分类编号管理；每月编制固体废弃物处置月报，盘点核对产生量与处置量，确保数据闭环。同时，公司面向生产一线及行政人员开展环保合规培训，2025年累计覆盖742人次。</w:t>
      </w:r>
      <w:commentRangeEnd w:id="29"/>
      <w:r>
        <w:rPr>
          <w:rStyle w:val="CommentReference"/>
        </w:rPr>
        <w:commentReference w:id="29"/>
      </w:r>
    </w:p>
    <w:p>
      <w:pPr>
        <w:ind w:firstLineChars="200" w:firstLine="480"/>
      </w:pPr>
      <w:commentRangeStart w:id="30"/>
      <w:r>
        <w:t>报告期内，公司各项污染物排放均符合国家及地方相关排放标准。全年接受监管部门现场检查5次，未发生重大环境违规事件，并于年内获得工业园区“绿色工厂”称号。</w:t>
      </w:r>
      <w:commentRangeEnd w:id="30"/>
      <w:r>
        <w:rPr>
          <w:rStyle w:val="CommentReference"/>
        </w:rPr>
        <w:commentReference w:id="30"/>
      </w:r>
    </w:p>
    <w:p>
      <w:pPr>
        <w:pStyle w:val="4"/>
      </w:pPr>
      <w:r>
        <w:t>1. 环境合规检查与审计记录</w:t>
      </w:r>
    </w:p>
    <w:p>
      <w:pPr>
        <w:ind w:firstLineChars="200" w:firstLine="480"/>
      </w:pPr>
      <w:commentRangeStart w:id="31"/>
      <w:r>
        <w:t>报告期内，公司持续开展环境合规核查，确保生产经营符合生态环境保护要求。内部核查方面，EHS主管每月开展环保自查巡检，排查治污设施运行、台账记录及废弃物处置情况，对不符合项建立记录并限期7天内整改完毕。外部监管方面，公司配合相关部门现场检查，全年接受检查5次，各项排放及固废管理均达标，无重大违规事项与环保处罚。数据审计方面，EHS部每季度开展数据准确性检查，年度综合能耗与温室气体排放数据校验偏差均为0.00%，相关计量设备均经法定机构检定且在有效期内。凭借合规管理成效，公司年内获评工业园区“绿色工厂”与“诚信示范企业”。</w:t>
      </w:r>
      <w:commentRangeEnd w:id="31"/>
      <w:r>
        <w:rPr>
          <w:rStyle w:val="CommentReference"/>
        </w:rPr>
        <w:commentReference w:id="31"/>
      </w:r>
    </w:p>
    <w:p>
      <w:pPr>
        <w:pStyle w:val="3"/>
      </w:pPr>
      <w:r>
        <w:t>（四）指标与目标</w:t>
      </w:r>
    </w:p>
    <w:p>
      <w:pPr>
        <w:ind w:firstLineChars="200" w:firstLine="480"/>
      </w:pPr>
      <w:commentRangeStart w:id="32"/>
      <w:r>
        <w:t>公司高度重视环境合规管理，正着手建立以污染物排放达标率、危险废弃物合规处置率等为核心的指标管理体系。公司正在推进相关数据的统计、收集、校验与跟踪，并将有关结果纳入后续报告期披露，以落实议题管理、提升相关能力。</w:t>
      </w:r>
      <w:commentRangeEnd w:id="32"/>
      <w:r>
        <w:rPr>
          <w:rStyle w:val="CommentReference"/>
        </w:rPr>
        <w:commentReference w:id="32"/>
      </w:r>
    </w:p>
    <w:p>
      <w:pPr>
        <w:pStyle w:val="2"/>
      </w:pPr>
      <w:bookmarkStart w:id="19" w:name="GS_TOC_019"/>
      <w:r>
        <w:t>三、污染物排放管理</w:t>
      </w:r>
      <w:bookmarkEnd w:id="19"/>
    </w:p>
    <w:p>
      <w:pPr>
        <w:pStyle w:val="3"/>
      </w:pPr>
      <w:r>
        <w:t>（一）治理</w:t>
      </w:r>
    </w:p>
    <w:p>
      <w:pPr>
        <w:ind w:firstLineChars="200" w:firstLine="480"/>
      </w:pPr>
      <w:commentRangeStart w:id="33"/>
      <w:r>
        <w:t>晟原精密已建立环境因素识别与监测机制，系统识别精密冲压、冷却液循环等生产环节的主要环境因素，并制定相应的污染防治与排放管控要求。公司通过ISO 14001环境管理体系认证，将污染物排放管理纳入规范化治理框架，每年定期开展清洁生产审核。</w:t>
      </w:r>
      <w:commentRangeEnd w:id="33"/>
      <w:r>
        <w:rPr>
          <w:rStyle w:val="CommentReference"/>
        </w:rPr>
        <w:commentReference w:id="33"/>
      </w:r>
    </w:p>
    <w:p>
      <w:pPr>
        <w:ind w:firstLineChars="200" w:firstLine="480"/>
      </w:pPr>
      <w:commentRangeStart w:id="34"/>
      <w:r>
        <w:t>在责任安排与运行机制方面，环境、健康与安全部统筹污染物排放的日常监测与管理。该部门每月组织定期监测，并委托第三方检测机构开展年度合规性检测及月度废气浓度监测。监测数据须在24小时内录入信息系统，归档保存不少于3年。公司建立电子与纸质双重环保台账，完整记录废气排放、固废收运及能耗数据。</w:t>
      </w:r>
      <w:commentRangeEnd w:id="34"/>
      <w:r>
        <w:rPr>
          <w:rStyle w:val="CommentReference"/>
        </w:rPr>
        <w:commentReference w:id="34"/>
      </w:r>
    </w:p>
    <w:p>
      <w:pPr>
        <w:ind w:firstLineChars="200" w:firstLine="480"/>
      </w:pPr>
      <w:commentRangeStart w:id="35"/>
      <w:r>
        <w:t>针对排放异常，公司设立超标预警机制。当监测值超出标准时，环境、健康与安全部主管须立即向管理层报告并启动应急预案。此外，公司设定涵盖废气达标排放、危险废物安全处置等维度的年度环境目标与指标，通过目标分解与过程监测，确保污染物排放管理责任有效落实。</w:t>
      </w:r>
      <w:commentRangeEnd w:id="35"/>
      <w:r>
        <w:rPr>
          <w:rStyle w:val="CommentReference"/>
        </w:rPr>
        <w:commentReference w:id="35"/>
      </w:r>
    </w:p>
    <w:p>
      <w:pPr>
        <w:pStyle w:val="3"/>
      </w:pPr>
      <w:r>
        <w:t>（二）战略</w:t>
      </w:r>
    </w:p>
    <w:p>
      <w:pPr>
        <w:ind w:firstLineChars="200" w:firstLine="480"/>
      </w:pPr>
      <w:r>
        <w:t>公司结合所属行业、主营业务及污染物排放管理要求，识别污染物排放相关风险与机遇，并围绕合规运营、声誉管理和绿色生产等方面制定相应管理措施。</w:t>
      </w:r>
    </w:p>
    <w:p>
      <w:pPr>
        <w:pStyle w:val="CaptionTable"/>
      </w:pPr>
      <w:commentRangeStart w:id="36"/>
      <w:r>
        <w:t>表7　污染物排放相关风险与机遇及应对措施</w:t>
      </w:r>
      <w:commentRangeEnd w:id="36"/>
      <w:r>
        <w:rPr>
          <w:rStyle w:val="CommentReference"/>
        </w:rPr>
        <w:commentReference w:id="36"/>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816"/>
        <w:gridCol w:w="1269"/>
        <w:gridCol w:w="2448"/>
        <w:gridCol w:w="1179"/>
        <w:gridCol w:w="907"/>
        <w:gridCol w:w="2448"/>
      </w:tblGrid>
      <w:tr>
        <w:trPr>
          <w:tblHeader w:val="true"/>
        </w:trPr>
        <w:tc>
          <w:tcPr>
            <w:tcW w:type="dxa" w:w="81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风险与机遇类型</w:t>
            </w:r>
          </w:p>
        </w:tc>
        <w:tc>
          <w:tcPr>
            <w:tcW w:type="dxa" w:w="1270"/>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风险与机遇名称</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影响的时间范围</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应对措施</w:t>
            </w:r>
          </w:p>
        </w:tc>
      </w:tr>
      <w:tr>
        <w:trPr>
          <w:cantSplit/>
        </w:trPr>
        <w:tc>
          <w:tcPr>
            <w:tcW w:type="dxa" w:w="81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风险</w:t>
            </w: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法规政策风险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随着电子制造业环保监管趋严，废气及废弃物排放标准的提升可能增加公司的合规要求与环保设施升级压力，进而对日常运营成本产生影响。</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运营成本增加、资本支出增加</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持续跟踪电子制造业环保法规及排放标准动态，确保污染物排放符合最新监管要求。定期评估污染防治设施运行效能，适时推进工艺优化与环保设施升级以维持合规运营。</w:t>
            </w:r>
          </w:p>
        </w:tc>
      </w:tr>
      <w:tr>
        <w:trPr>
          <w:cantSplit/>
        </w:trPr>
        <w:tc>
          <w:tcPr>
            <w:tcW w:type="dxa" w:w="816"/>
            <w:vMerge/>
          </w:tcP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声誉风险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精密电子元器件生产过程中的废气或废弃物若管控不当引发环境事件，可能引起周边社区及利益相关方的关注，进而对公司品牌形象与市场声誉造成负面影响。</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收入减少</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严格落实污染物排放的日常监测与预警机制，防范异常排放事件发生。加强与利益相关方的沟通，妥善回应环保关切，维护良好的企业公众形象。</w:t>
            </w:r>
          </w:p>
        </w:tc>
      </w:tr>
      <w:tr>
        <w:trPr>
          <w:cantSplit/>
        </w:trPr>
        <w:tc>
          <w:tcPr>
            <w:tcW w:type="dxa" w:w="81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机遇</w:t>
            </w: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市场机遇</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在消费电子与新能源汽车产业链对绿色供应链要求不断提升的背景下，公司通过提升清洁生产水平与资源利用效率，有助于增强在绿色供应链中的竞争优势，获取客户偏好与更多市场机会。</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收入增加</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持续推进清洁生产与资源循环利用，提升生产过程中的能耗管控与废弃物回收水平。积极响应下游整机厂与车企对绿色供应链的环保要求，将环境管理能力转化为市场竞争优势。</w:t>
            </w:r>
          </w:p>
        </w:tc>
      </w:tr>
    </w:tbl>
    <w:p>
      <w:pPr>
        <w:pStyle w:val="3"/>
      </w:pPr>
      <w:r>
        <w:t>（三）影响、风险与机遇管理</w:t>
      </w:r>
    </w:p>
    <w:p>
      <w:pPr>
        <w:pStyle w:val="4"/>
      </w:pPr>
      <w:r>
        <w:t>1. 排放过程监测与合规管理</w:t>
      </w:r>
    </w:p>
    <w:p>
      <w:pPr>
        <w:ind w:firstLineChars="200" w:firstLine="480"/>
      </w:pPr>
      <w:commentRangeStart w:id="37"/>
      <w:r>
        <w:t>在环境因素识别方面，公司系统梳理生产与运营各环节的主要环境因素，涵盖原材料金属冲压产生的颗粒物与有机物、冷却液循环使用涉及的工业废水与残留物、厂区办公产生的能耗与温室气体，以及边角料与废液桶等固体废弃物的规范处置等关键领域。</w:t>
      </w:r>
      <w:commentRangeEnd w:id="37"/>
      <w:r>
        <w:rPr>
          <w:rStyle w:val="CommentReference"/>
        </w:rPr>
        <w:commentReference w:id="37"/>
      </w:r>
    </w:p>
    <w:p>
      <w:pPr>
        <w:ind w:firstLineChars="200" w:firstLine="480"/>
      </w:pPr>
      <w:commentRangeStart w:id="38"/>
      <w:r>
        <w:t>在过程监测与设施运行方面，公司针对精密冲压、冷却循环及食堂等工序配置静电除尘、离心分离与活性炭吸附等废气治理设施并保持正常运行。2025年，各项废气排放浓度均符合相应排放标准，废气排放合规目标实现率达100%。</w:t>
      </w:r>
      <w:commentRangeEnd w:id="38"/>
      <w:r>
        <w:rPr>
          <w:rStyle w:val="CommentReference"/>
        </w:rPr>
        <w:commentReference w:id="38"/>
      </w:r>
    </w:p>
    <w:p>
      <w:pPr>
        <w:ind w:firstLineChars="200" w:firstLine="480"/>
      </w:pPr>
      <w:commentRangeStart w:id="39"/>
      <w:r>
        <w:t>在信息公开与合规管理方面，公司每季度通过官方网站与园区社区公告栏发布污水及废气排放监测数据，保障环境信息透明与社区沟通。报告期内，公司污染物排放管理要求有效落实，未发生环保处罚事件，并获得工业园区“绿色工厂”称号。</w:t>
      </w:r>
      <w:commentRangeEnd w:id="39"/>
      <w:r>
        <w:rPr>
          <w:rStyle w:val="CommentReference"/>
        </w:rPr>
        <w:commentReference w:id="39"/>
      </w:r>
    </w:p>
    <w:p>
      <w:pPr>
        <w:pStyle w:val="3"/>
      </w:pPr>
      <w:r>
        <w:t>（四）指标与目标</w:t>
      </w:r>
    </w:p>
    <w:p>
      <w:pPr>
        <w:jc w:val="center"/>
      </w:pPr>
      <w:commentRangeStart w:id="40"/>
      <w:r>
        <w:drawing>
          <wp:inline xmlns:a="http://schemas.openxmlformats.org/drawingml/2006/main" xmlns:pic="http://schemas.openxmlformats.org/drawingml/2006/picture">
            <wp:extent cx="5760000" cy="1008000"/>
            <wp:docPr id="3" name="Picture 3"/>
            <wp:cNvGraphicFramePr>
              <a:graphicFrameLocks noChangeAspect="1"/>
            </wp:cNvGraphicFramePr>
            <a:graphic>
              <a:graphicData uri="http://schemas.openxmlformats.org/drawingml/2006/picture">
                <pic:pic>
                  <pic:nvPicPr>
                    <pic:cNvPr id="0" name="image.png"/>
                    <pic:cNvPicPr/>
                  </pic:nvPicPr>
                  <pic:blipFill>
                    <a:blip r:embed="rId69"/>
                    <a:stretch>
                      <a:fillRect/>
                    </a:stretch>
                  </pic:blipFill>
                  <pic:spPr>
                    <a:xfrm>
                      <a:off x="0" y="0"/>
                      <a:ext cx="5760000" cy="1008000"/>
                    </a:xfrm>
                    <a:prstGeom prst="rect"/>
                  </pic:spPr>
                </pic:pic>
              </a:graphicData>
            </a:graphic>
          </wp:inline>
        </w:drawing>
      </w:r>
      <w:commentRangeEnd w:id="40"/>
      <w:r>
        <w:rPr>
          <w:rStyle w:val="CommentReference"/>
        </w:rPr>
        <w:commentReference w:id="40"/>
      </w:r>
    </w:p>
    <w:p>
      <w:pPr>
        <w:pStyle w:val="2"/>
      </w:pPr>
      <w:bookmarkStart w:id="20" w:name="GS_TOC_020"/>
      <w:r>
        <w:t>四、废弃物管理</w:t>
      </w:r>
      <w:bookmarkEnd w:id="20"/>
    </w:p>
    <w:p>
      <w:pPr>
        <w:pStyle w:val="3"/>
      </w:pPr>
      <w:r>
        <w:t>（一）治理</w:t>
      </w:r>
    </w:p>
    <w:p>
      <w:pPr>
        <w:ind w:firstLineChars="200" w:firstLine="480"/>
      </w:pPr>
      <w:commentRangeStart w:id="41"/>
      <w:r>
        <w:t>晟原精密建立固体废弃物管理制度及边角料回收与资源化利用规程，明确各层级管理职责。EHS部统筹废弃物全流程管控，负责监督抽查、合规评估与台账管理；各车间主管落实产生点的分类收集责任；采购部将回收商纳入供应商体系并核查其环保合规情况。</w:t>
      </w:r>
      <w:commentRangeEnd w:id="41"/>
      <w:r>
        <w:rPr>
          <w:rStyle w:val="CommentReference"/>
        </w:rPr>
        <w:commentReference w:id="41"/>
      </w:r>
    </w:p>
    <w:p>
      <w:pPr>
        <w:ind w:firstLineChars="200" w:firstLine="480"/>
      </w:pPr>
      <w:commentRangeStart w:id="42"/>
      <w:r>
        <w:t>公司实施废弃物分类机制，按危险性与可回收性进行分级，配置专用收集容器。针对危险废弃物，严格执行转移联单制度，全部委托持有危险废弃物经营许可证的单位处置。日常管理涵盖分类收集、暂存、委托收运、联单交付至台账归档的闭环流程。</w:t>
      </w:r>
      <w:commentRangeEnd w:id="42"/>
      <w:r>
        <w:rPr>
          <w:rStyle w:val="CommentReference"/>
        </w:rPr>
        <w:commentReference w:id="42"/>
      </w:r>
    </w:p>
    <w:p>
      <w:pPr>
        <w:ind w:firstLineChars="200" w:firstLine="480"/>
      </w:pPr>
      <w:commentRangeStart w:id="43"/>
      <w:r>
        <w:t>在协调与监督方面，EHS部定期开展现场抽查并编制处置月报，确保分类准确率与处置合规性。公司制定专项应急预案，覆盖运输泄漏与暂存污染等情形，并配合生态环境部门的执法检查。</w:t>
      </w:r>
      <w:commentRangeEnd w:id="43"/>
      <w:r>
        <w:rPr>
          <w:rStyle w:val="CommentReference"/>
        </w:rPr>
        <w:commentReference w:id="43"/>
      </w:r>
    </w:p>
    <w:p>
      <w:pPr>
        <w:pStyle w:val="3"/>
      </w:pPr>
      <w:r>
        <w:t>（二）战略</w:t>
      </w:r>
    </w:p>
    <w:p>
      <w:pPr>
        <w:ind w:firstLineChars="200" w:firstLine="480"/>
      </w:pPr>
      <w:commentRangeStart w:id="44"/>
      <w:r>
        <w:t>晟原精密在废弃物管理方面秉持合规处置与资源化利用并重的长期方向，致力于在满足环保法规要求的同时，提升资源利用效率与绿色制造水平。</w:t>
      </w:r>
      <w:commentRangeEnd w:id="44"/>
      <w:r>
        <w:rPr>
          <w:rStyle w:val="CommentReference"/>
        </w:rPr>
        <w:commentReference w:id="44"/>
      </w:r>
    </w:p>
    <w:p>
      <w:pPr>
        <w:ind w:firstLineChars="200" w:firstLine="480"/>
      </w:pPr>
      <w:commentRangeStart w:id="45"/>
      <w:r>
        <w:t>在规范处置方面，公司坚持危险废弃物全面合规处置的原则，落实资质审查与全过程监督，防范违规排放带来的合规风险。在资源化利用方面，公司持续推进金属边角料、有色金属屑及包装物等一般工业固废的回收与循环利用。公司确立回收渠道合规审查原则，严格核查回收商的环保资质与最终处理工艺，确保物料去向合法合规，杜绝污染转移风险。</w:t>
      </w:r>
      <w:commentRangeEnd w:id="45"/>
      <w:r>
        <w:rPr>
          <w:rStyle w:val="CommentReference"/>
        </w:rPr>
        <w:commentReference w:id="45"/>
      </w:r>
    </w:p>
    <w:p>
      <w:pPr>
        <w:ind w:firstLineChars="200" w:firstLine="480"/>
      </w:pPr>
      <w:commentRangeStart w:id="46"/>
      <w:r>
        <w:t>在废弃物减量方面，公司将减量导向融入生产工艺优化与材料利用率提升环节，通过改进冲压工艺与模具设计，降低生产过程中的废料产生量。同时，公司设定持续提升固废回收利用率的中长期目标，计划通过引入循环利用系统与优化分类机制，进一步挖掘资源化潜力，在降低原材料采购与固废处置成本的同时，实现环境效益与经济效益的协同提升。</w:t>
      </w:r>
      <w:commentRangeEnd w:id="46"/>
      <w:r>
        <w:rPr>
          <w:rStyle w:val="CommentReference"/>
        </w:rPr>
        <w:commentReference w:id="46"/>
      </w:r>
    </w:p>
    <w:p>
      <w:pPr>
        <w:pStyle w:val="3"/>
      </w:pPr>
      <w:r>
        <w:t>（三）影响、风险与机遇管理</w:t>
      </w:r>
    </w:p>
    <w:p>
      <w:pPr>
        <w:ind w:firstLineChars="200" w:firstLine="480"/>
      </w:pPr>
      <w:commentRangeStart w:id="47"/>
      <w:r>
        <w:t>2025年，晟原精密固体废弃物总产生量为42.6吨，其中一般工业固废39.4吨，危险废弃物3.2吨。在处置环节，公司严格落实危险废弃物合规处置要求，全年危险废弃物处置率保持100%，规范执行转移联单制度，累计完成16份联单的交付与归档，确保危废去向清晰、全程可溯。</w:t>
      </w:r>
      <w:commentRangeEnd w:id="47"/>
      <w:r>
        <w:rPr>
          <w:rStyle w:val="CommentReference"/>
        </w:rPr>
        <w:commentReference w:id="47"/>
      </w:r>
    </w:p>
    <w:p>
      <w:pPr>
        <w:ind w:firstLineChars="200" w:firstLine="480"/>
      </w:pPr>
      <w:commentRangeStart w:id="48"/>
      <w:r>
        <w:t>在资源化利用方面，公司持续推进一般工业固废的回收与循环利用，全年实现回收利用量18.0吨。针对精密冲压与连接器加工产生的废弃物，公司对金属边角料、有色金属屑及废包装物等进行分类回收与资源化利用。2025年度，公司固废回收利用率达到42.2%，超额完成年度设定目标。</w:t>
      </w:r>
      <w:commentRangeEnd w:id="48"/>
      <w:r>
        <w:rPr>
          <w:rStyle w:val="CommentReference"/>
        </w:rPr>
        <w:commentReference w:id="48"/>
      </w:r>
    </w:p>
    <w:p>
      <w:pPr>
        <w:ind w:firstLineChars="200" w:firstLine="480"/>
      </w:pPr>
      <w:commentRangeStart w:id="49"/>
      <w:r>
        <w:t>废弃物资源化不仅降低了末端处置压力，也带来了直接的经济回馈。报告期内，公司通过一般工业固废的合规回收与资源化利用，实现回收总收益约22.5万元，有效冲抵了部分固废处置成本，进一步验证了资源循环利用在提升经营效益方面的积极作用。</w:t>
      </w:r>
      <w:commentRangeEnd w:id="49"/>
      <w:r>
        <w:rPr>
          <w:rStyle w:val="CommentReference"/>
        </w:rPr>
        <w:commentReference w:id="49"/>
      </w:r>
    </w:p>
    <w:p>
      <w:pPr>
        <w:pStyle w:val="4"/>
      </w:pPr>
      <w:r>
        <w:t>1. 危险废弃物委托处置</w:t>
      </w:r>
    </w:p>
    <w:p>
      <w:pPr>
        <w:ind w:firstLineChars="200" w:firstLine="480"/>
      </w:pPr>
      <w:commentRangeStart w:id="50"/>
      <w:r>
        <w:t>报告期内，晟原精密产生的危险废弃物主要为机械设备维护与工艺冷却产生的废矿物油（HW08），以及清洁维护产生的沾染化学品容器与抹布等其他废弃物（HW49）。公司依据废弃物代码与特性，将其分类交由具备相应许可资质的单位进行焚烧或资源化利用。在转移交接环节，公司按生态环境部门规定启用危险废弃物转移联单，由交接双方现场当场填写。处置完成后，EHS部负责收取处置证明等单据，逐项核对处置数量与处置方法的合规性，相关联单及原始凭证按规定期限归档保存，确保危险废弃物最终去向清晰、全过程可追溯。</w:t>
      </w:r>
      <w:commentRangeEnd w:id="50"/>
      <w:r>
        <w:rPr>
          <w:rStyle w:val="CommentReference"/>
        </w:rPr>
        <w:commentReference w:id="50"/>
      </w:r>
    </w:p>
    <w:p>
      <w:pPr>
        <w:pStyle w:val="3"/>
      </w:pPr>
      <w:r>
        <w:t>（四）指标与目标</w:t>
      </w:r>
    </w:p>
    <w:p>
      <w:pPr>
        <w:jc w:val="center"/>
      </w:pPr>
      <w:commentRangeStart w:id="51"/>
      <w:r>
        <w:drawing>
          <wp:inline xmlns:a="http://schemas.openxmlformats.org/drawingml/2006/main" xmlns:pic="http://schemas.openxmlformats.org/drawingml/2006/picture">
            <wp:extent cx="5760000" cy="1752686"/>
            <wp:docPr id="4" name="Picture 4"/>
            <wp:cNvGraphicFramePr>
              <a:graphicFrameLocks noChangeAspect="1"/>
            </wp:cNvGraphicFramePr>
            <a:graphic>
              <a:graphicData uri="http://schemas.openxmlformats.org/drawingml/2006/picture">
                <pic:pic>
                  <pic:nvPicPr>
                    <pic:cNvPr id="0" name="image.png"/>
                    <pic:cNvPicPr/>
                  </pic:nvPicPr>
                  <pic:blipFill>
                    <a:blip r:embed="rId70"/>
                    <a:stretch>
                      <a:fillRect/>
                    </a:stretch>
                  </pic:blipFill>
                  <pic:spPr>
                    <a:xfrm>
                      <a:off x="0" y="0"/>
                      <a:ext cx="5760000" cy="1752686"/>
                    </a:xfrm>
                    <a:prstGeom prst="rect"/>
                  </pic:spPr>
                </pic:pic>
              </a:graphicData>
            </a:graphic>
          </wp:inline>
        </w:drawing>
      </w:r>
      <w:commentRangeEnd w:id="51"/>
      <w:r>
        <w:rPr>
          <w:rStyle w:val="CommentReference"/>
        </w:rPr>
        <w:commentReference w:id="51"/>
      </w:r>
    </w:p>
    <w:p>
      <w:pPr>
        <w:pStyle w:val="2"/>
      </w:pPr>
      <w:bookmarkStart w:id="21" w:name="GS_TOC_021"/>
      <w:r>
        <w:t>五、促进循环经济</w:t>
      </w:r>
      <w:bookmarkEnd w:id="21"/>
    </w:p>
    <w:p>
      <w:pPr>
        <w:pStyle w:val="3"/>
      </w:pPr>
      <w:r>
        <w:t>（一）治理</w:t>
      </w:r>
    </w:p>
    <w:p>
      <w:pPr>
        <w:ind w:firstLineChars="200" w:firstLine="480"/>
      </w:pPr>
      <w:commentRangeStart w:id="52"/>
      <w:r>
        <w:t>公司依托ISO 14001环境管理体系推进循环经济治理。2025年，公司制定并发布《边角料回收与资源化利用规程》，由EHS部统筹管理，副总经理（运营）签核监督，确立边角料回收与资源化利用的规范管理机制。在责任安排方面，EHS部负责制度运行与绩效评估，每年编制专项年度总结报告，系统汇总回收总量、资源化利用率及环保效益；车间操作人员负责生产源头的物料分类与分离；后勤部门负责定期清称与分类存放。在协调方式方面，公司建立涵盖产生点分离、定期清称入库至外售交接的闭环管理流程，EHS部按季度编制回收物料清单，统筹回收商询价、验货与交接结算，保障可回收物规范流转。此外，公司依托环境管理体系定期开展清洁生产审核，持续优化资源利用效率与循环经济管理水平。</w:t>
      </w:r>
      <w:commentRangeEnd w:id="52"/>
      <w:r>
        <w:rPr>
          <w:rStyle w:val="CommentReference"/>
        </w:rPr>
        <w:commentReference w:id="52"/>
      </w:r>
    </w:p>
    <w:p>
      <w:pPr>
        <w:pStyle w:val="3"/>
      </w:pPr>
      <w:r>
        <w:t>（二）战略</w:t>
      </w:r>
    </w:p>
    <w:p>
      <w:pPr>
        <w:ind w:firstLineChars="200" w:firstLine="480"/>
      </w:pPr>
      <w:commentRangeStart w:id="53"/>
      <w:r>
        <w:t>公司以提升资源效率与推进产品生命周期管理为核心原则，持续降低对原生资源的依赖。在循环利用方面，公司深化废弃物分类与高值化利用，推动回收物料规范进入下游再利用链条。2025年，公司实现固体废弃物回收量18.0吨，固废回收利用率为42.2%。针对各类回收物，公司明确其资源化路径，推动黑色金属回炉重铸与铁粉制备，引导有色金属进入精炼与冶炼环节，并将纸质包装及办公废料交由专业机构再生利用。</w:t>
      </w:r>
      <w:commentRangeEnd w:id="53"/>
      <w:r>
        <w:rPr>
          <w:rStyle w:val="CommentReference"/>
        </w:rPr>
        <w:commentReference w:id="53"/>
      </w:r>
    </w:p>
    <w:p>
      <w:pPr>
        <w:ind w:firstLineChars="200" w:firstLine="480"/>
      </w:pPr>
      <w:commentRangeStart w:id="54"/>
      <w:r>
        <w:t>在包装减量与源头控制方面，公司遵循减量化与循环使用原则，推进包装材料的优化与回收。为持续提升资源效率，公司确立工艺优化与模具改进的长期推进方向，力求从生产源头降低固体废弃物产生量；同时，探索废水循环利用等系统升级，以期进一步提高资源综合利用率，优化成本结构并适应循环经济法规要求。</w:t>
      </w:r>
      <w:commentRangeEnd w:id="54"/>
      <w:r>
        <w:rPr>
          <w:rStyle w:val="CommentReference"/>
        </w:rPr>
        <w:commentReference w:id="54"/>
      </w:r>
    </w:p>
    <w:p>
      <w:pPr>
        <w:pStyle w:val="3"/>
      </w:pPr>
      <w:r>
        <w:t>（三）影响、风险与机遇管理</w:t>
      </w:r>
    </w:p>
    <w:p>
      <w:pPr>
        <w:pStyle w:val="4"/>
      </w:pPr>
      <w:r>
        <w:t>1. 推进废弃物分级管理与循环利用试点</w:t>
      </w:r>
    </w:p>
    <w:p>
      <w:pPr>
        <w:ind w:firstLineChars="200" w:firstLine="480"/>
      </w:pPr>
      <w:commentRangeStart w:id="55"/>
      <w:r>
        <w:t>公司建立可回收物分级管理机制，根据物料价值与属性实施分类处置。黑色与有色金属纳入一级回收物管理，定向外售至回炉与再生冶炼环节；塑料、橡胶等中价值物料作为二级回收物，交由专业机构进行资源化利用；玻璃纤维、陶瓷等低价值废弃物经评估后规范处置。同时，公司注重回收物料的品质控制，确保金属屑达到一级标准，有色金属纯度保持在90%～95%之间，纸质废料达到B级标准，保障下游资源化利用效率。</w:t>
      </w:r>
      <w:commentRangeEnd w:id="55"/>
      <w:r>
        <w:rPr>
          <w:rStyle w:val="CommentReference"/>
        </w:rPr>
        <w:commentReference w:id="55"/>
      </w:r>
    </w:p>
    <w:p>
      <w:pPr>
        <w:ind w:firstLineChars="200" w:firstLine="480"/>
      </w:pPr>
      <w:commentRangeStart w:id="56"/>
      <w:r>
        <w:t>2025年，公司一般固废产生总量为39.4吨。为进一步提升资源综合利用率，公司与回收企业合作，探索边角料再生利用的循环经济试点项目，持续拓展高值化利用渠道。针对涉及商业秘密的办公纸张，公司实施专业保密销毁，其余纸质废料则进入再生纸浆生产链条。通过规范化的分类回收与外售管理，公司全年实现固体废弃物回收经济收益约22.5万元，有效抵冲部分处置成本，实现环境效益与经济效益协同。</w:t>
      </w:r>
      <w:commentRangeEnd w:id="56"/>
      <w:r>
        <w:rPr>
          <w:rStyle w:val="CommentReference"/>
        </w:rPr>
        <w:commentReference w:id="56"/>
      </w:r>
    </w:p>
    <w:p>
      <w:pPr>
        <w:pStyle w:val="3"/>
      </w:pPr>
      <w:r>
        <w:t>（四）指标与目标</w:t>
      </w:r>
    </w:p>
    <w:p>
      <w:pPr>
        <w:ind w:firstLineChars="200" w:firstLine="480"/>
      </w:pPr>
      <w:commentRangeStart w:id="57"/>
      <w:r>
        <w:t>公司高度重视循环经济管理，正着手建立以固体废弃物回收利用率、单位产值废弃物产生量及水资源循环利用率等为核心的指标管理体系。公司正在推进相关数据的统计、收集、校验与跟踪，并将有关结果纳入后续报告期披露，以落实议题管理、提升相关能力。</w:t>
      </w:r>
      <w:commentRangeEnd w:id="57"/>
      <w:r>
        <w:rPr>
          <w:rStyle w:val="CommentReference"/>
        </w:rPr>
        <w:commentReference w:id="57"/>
      </w:r>
    </w:p>
    <w:p>
      <w:pPr>
        <w:pStyle w:val="2"/>
      </w:pPr>
      <w:bookmarkStart w:id="22" w:name="GS_TOC_022"/>
      <w:r>
        <w:t>六、能源管理</w:t>
      </w:r>
      <w:bookmarkEnd w:id="22"/>
    </w:p>
    <w:p>
      <w:pPr>
        <w:pStyle w:val="3"/>
      </w:pPr>
      <w:r>
        <w:t>（一）治理</w:t>
      </w:r>
    </w:p>
    <w:p>
      <w:pPr>
        <w:ind w:firstLineChars="200" w:firstLine="480"/>
      </w:pPr>
      <w:commentRangeStart w:id="58"/>
      <w:r>
        <w:t>公司制定并实施能源管理制度，由副总经理（运营）签核，EHS部归口管理，覆盖生产、办公、运输等各环节用能管理。公司建立能源目标管理机制，设定年度综合能源消费总量上限，并明确单位产值能耗递减目标，强化能源消耗控制。</w:t>
      </w:r>
      <w:commentRangeEnd w:id="58"/>
      <w:r>
        <w:rPr>
          <w:rStyle w:val="CommentReference"/>
        </w:rPr>
        <w:commentReference w:id="58"/>
      </w:r>
    </w:p>
    <w:p>
      <w:pPr>
        <w:ind w:firstLineChars="200" w:firstLine="480"/>
      </w:pPr>
      <w:commentRangeStart w:id="59"/>
      <w:r>
        <w:t>在计量与数据统计方面，公司配置电能表、天然气表及光伏逆变器等计量设备，定期开展法定检定。建立“日采集、月汇总、年报告”的统计机制，由后勤人员每日抄表并报送EHS部，EHS部按月形成能源消费台账，按年编制能源统计报告。各项用能数据统一录入能源管理信息系统，实现台账规范化留存。通过明确各层级职责与数据流转流程，保障能源管理工作的有效协同与动态监测。同时，公司正稳步推进ISO 50001能源管理体系建设，以进一步提升能源治理规范化水平。</w:t>
      </w:r>
      <w:commentRangeEnd w:id="59"/>
      <w:r>
        <w:rPr>
          <w:rStyle w:val="CommentReference"/>
        </w:rPr>
        <w:commentReference w:id="59"/>
      </w:r>
    </w:p>
    <w:p>
      <w:pPr>
        <w:pStyle w:val="3"/>
      </w:pPr>
      <w:r>
        <w:t>（二）战略</w:t>
      </w:r>
    </w:p>
    <w:p>
      <w:pPr>
        <w:ind w:firstLineChars="200" w:firstLine="480"/>
      </w:pPr>
      <w:r>
        <w:t>公司结合所属行业、主营业务及能源使用特征，识别能源管理相关风险与机遇，并围绕运营成本、市场响应和能源效率提升等方面制定相应管理措施。</w:t>
      </w:r>
    </w:p>
    <w:p>
      <w:pPr>
        <w:pStyle w:val="CaptionTable"/>
      </w:pPr>
      <w:commentRangeStart w:id="60"/>
      <w:r>
        <w:t>表8　能源相关风险机遇识别及应对措施</w:t>
      </w:r>
      <w:commentRangeEnd w:id="60"/>
      <w:r>
        <w:rPr>
          <w:rStyle w:val="CommentReference"/>
        </w:rPr>
        <w:commentReference w:id="60"/>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816"/>
        <w:gridCol w:w="1269"/>
        <w:gridCol w:w="2448"/>
        <w:gridCol w:w="1179"/>
        <w:gridCol w:w="907"/>
        <w:gridCol w:w="2448"/>
      </w:tblGrid>
      <w:tr>
        <w:trPr>
          <w:tblHeader w:val="true"/>
        </w:trPr>
        <w:tc>
          <w:tcPr>
            <w:tcW w:type="dxa" w:w="81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风险与机遇类型</w:t>
            </w:r>
          </w:p>
        </w:tc>
        <w:tc>
          <w:tcPr>
            <w:tcW w:type="dxa" w:w="1270"/>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风险与机遇名称</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影响的时间范围</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应对措施</w:t>
            </w:r>
          </w:p>
        </w:tc>
      </w:tr>
      <w:tr>
        <w:trPr>
          <w:cantSplit/>
        </w:trPr>
        <w:tc>
          <w:tcPr>
            <w:tcW w:type="dxa" w:w="816"/>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机遇</w:t>
            </w: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节能技术应用机遇</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在精密电子元器件与连接器制造过程中，应用高效节能设备与工艺优化技术，有助于降低单位产品能耗，从而在消费电子与新能源汽车供应链中提升绿色低碳竞争力，并带来运营成本的节约。</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运营成本减少</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持续跟踪行业节能技术发展趋势，评估冲压、装配等核心工序的能效提升潜力；结合生产排班与用能特点，适时推进高耗能设备的节能改造与升级。</w:t>
            </w:r>
          </w:p>
        </w:tc>
      </w:tr>
      <w:tr>
        <w:trPr>
          <w:cantSplit/>
        </w:trPr>
        <w:tc>
          <w:tcPr>
            <w:tcW w:type="dxa" w:w="81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风险</w:t>
            </w: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投资风险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电子设备制造对电力供应依赖度较高，能源价格波动及节能改造、清洁能源设施的前期资本性支出，可能对公司的现金流与投资回报周期带来一定压力，影响整体经营成本与投资安排。</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运营成本增加</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建立能源价格与政策补贴的动态跟踪机制，评估各类节能投资项目的经济性与回收期；合理安排资金预算，平衡日常运营与中长期能效提升的投资需求。</w:t>
            </w:r>
          </w:p>
        </w:tc>
      </w:tr>
      <w:tr>
        <w:trPr>
          <w:cantSplit/>
        </w:trPr>
        <w:tc>
          <w:tcPr>
            <w:tcW w:type="dxa" w:w="816"/>
            <w:vMerge/>
          </w:tcP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技术风险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随着低碳制造要求的提升，精密冲压与热处理等高耗能工序可能面临被新一代节能技术替代的压力，若改造周期过长或技术落地存在不确定性，可能影响生产连续性与合规表现。</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运营成本增加</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定期开展现有设备能效评估，识别高耗能环节的技术替代风险；关注行业前沿低碳工艺与设备更新方向，稳妥制定技术迭代与产线升级的过渡方案。</w:t>
            </w:r>
          </w:p>
        </w:tc>
      </w:tr>
    </w:tbl>
    <w:p>
      <w:pPr>
        <w:pStyle w:val="3"/>
      </w:pPr>
      <w:r>
        <w:t>（三）影响、风险与机遇管理</w:t>
      </w:r>
    </w:p>
    <w:p>
      <w:pPr>
        <w:ind w:firstLineChars="200" w:firstLine="480"/>
      </w:pPr>
      <w:commentRangeStart w:id="61"/>
      <w:r>
        <w:t>公司持续推进设备升级与工艺优化以降低运行功耗，完成全厂区LED照明改造、冲压机床变频器升级及冷却液循环系统优化。在清洁能源利用方面，公司建设装机容量680 kWp的屋顶分布式光伏系统，采用“自发自用、余电上网”模式。2025年，该系统发电750兆瓦时，自用率达86.3%，有效优化用能结构。</w:t>
      </w:r>
      <w:commentRangeEnd w:id="61"/>
      <w:r>
        <w:rPr>
          <w:rStyle w:val="CommentReference"/>
        </w:rPr>
        <w:commentReference w:id="61"/>
      </w:r>
    </w:p>
    <w:p>
      <w:pPr>
        <w:ind w:firstLineChars="200" w:firstLine="480"/>
      </w:pPr>
      <w:commentRangeStart w:id="62"/>
      <w:r>
        <w:t>在日常运行中，公司利用峰谷电价差优化生产排班，通过削峰填谷控制最大需量，并保持配电室功率因数在0.95以上。公司将能效指标纳入部门年度考核，设定单位产品能耗同比下降目标，建立异常用能分析与节能建议激励机制，推动全员参与降耗。</w:t>
      </w:r>
      <w:commentRangeEnd w:id="62"/>
      <w:r>
        <w:rPr>
          <w:rStyle w:val="CommentReference"/>
        </w:rPr>
        <w:commentReference w:id="62"/>
      </w:r>
    </w:p>
    <w:p>
      <w:pPr>
        <w:ind w:firstLineChars="200" w:firstLine="480"/>
      </w:pPr>
      <w:commentRangeStart w:id="63"/>
      <w:r>
        <w:t>2025年，公司单位产值能耗降至1.75吨标准煤/万元，同比下降3.8%；能源成本占营业收入比例降至2.8%。相关实践在降低整体运营成本的同时，增强了公司在绿色低碳供应链中的市场竞争力。</w:t>
      </w:r>
      <w:commentRangeEnd w:id="63"/>
      <w:r>
        <w:rPr>
          <w:rStyle w:val="CommentReference"/>
        </w:rPr>
        <w:commentReference w:id="63"/>
      </w:r>
    </w:p>
    <w:p>
      <w:pPr>
        <w:pStyle w:val="3"/>
      </w:pPr>
      <w:r>
        <w:t>（四）指标与目标</w:t>
      </w:r>
    </w:p>
    <w:p>
      <w:pPr>
        <w:jc w:val="center"/>
      </w:pPr>
      <w:commentRangeStart w:id="64"/>
      <w:r>
        <w:drawing>
          <wp:inline xmlns:a="http://schemas.openxmlformats.org/drawingml/2006/main" xmlns:pic="http://schemas.openxmlformats.org/drawingml/2006/picture">
            <wp:extent cx="5760000" cy="1008000"/>
            <wp:docPr id="5" name="Picture 5"/>
            <wp:cNvGraphicFramePr>
              <a:graphicFrameLocks noChangeAspect="1"/>
            </wp:cNvGraphicFramePr>
            <a:graphic>
              <a:graphicData uri="http://schemas.openxmlformats.org/drawingml/2006/picture">
                <pic:pic>
                  <pic:nvPicPr>
                    <pic:cNvPr id="0" name="image.png"/>
                    <pic:cNvPicPr/>
                  </pic:nvPicPr>
                  <pic:blipFill>
                    <a:blip r:embed="rId71"/>
                    <a:stretch>
                      <a:fillRect/>
                    </a:stretch>
                  </pic:blipFill>
                  <pic:spPr>
                    <a:xfrm>
                      <a:off x="0" y="0"/>
                      <a:ext cx="5760000" cy="1008000"/>
                    </a:xfrm>
                    <a:prstGeom prst="rect"/>
                  </pic:spPr>
                </pic:pic>
              </a:graphicData>
            </a:graphic>
          </wp:inline>
        </w:drawing>
      </w:r>
      <w:commentRangeEnd w:id="64"/>
      <w:r>
        <w:rPr>
          <w:rStyle w:val="CommentReference"/>
        </w:rPr>
        <w:commentReference w:id="64"/>
      </w:r>
    </w:p>
    <w:p>
      <w:pPr>
        <w:pStyle w:val="2"/>
      </w:pPr>
      <w:bookmarkStart w:id="23" w:name="GS_TOC_023"/>
      <w:r>
        <w:t>七、水资源管理</w:t>
      </w:r>
      <w:bookmarkEnd w:id="23"/>
    </w:p>
    <w:p>
      <w:pPr>
        <w:pStyle w:val="3"/>
      </w:pPr>
      <w:r>
        <w:t>（一）治理</w:t>
      </w:r>
    </w:p>
    <w:p>
      <w:pPr>
        <w:ind w:firstLineChars="200" w:firstLine="480"/>
      </w:pPr>
      <w:commentRangeStart w:id="65"/>
      <w:r>
        <w:t>公司明确后勤部为水资源日常管理与数据监测的执行部门，负责从市政供水总表、车间冷却系统表及排放总表逐月采集用水与排水数据。在数据管理机制方面，公司建立水资源电子台账，依托企业ERP系统与数据库进行集中管理，并于每月末执行数据备份，保障用水及排放数据的准确性与可追溯性。公司实行水资源目标管理机制，设定年度用水强度控制目标，并定期评估目标达成情况，以目标导向驱动管理绩效提升。在排放监督与外部协同方面，公司建立废水月度检测机制，对经处理后的工业废水进行合规性监测，确保排放浓度符合相关标准，并通过管道输送至园区污水处理系统，实现与园区环保管理体系的有效衔接与协同。</w:t>
      </w:r>
      <w:commentRangeEnd w:id="65"/>
      <w:r>
        <w:rPr>
          <w:rStyle w:val="CommentReference"/>
        </w:rPr>
        <w:commentReference w:id="65"/>
      </w:r>
    </w:p>
    <w:p>
      <w:pPr>
        <w:pStyle w:val="3"/>
      </w:pPr>
      <w:r>
        <w:t>（二）战略</w:t>
      </w:r>
    </w:p>
    <w:p>
      <w:pPr>
        <w:ind w:firstLineChars="200" w:firstLine="480"/>
      </w:pPr>
      <w:commentRangeStart w:id="66"/>
      <w:r>
        <w:t>公司密切关注精密电子元器件制造过程中的水资源消耗状况及区域水资源供给趋势，将提升水资源利用效率、降低单位产值水耗作为长期可持续发展的重要方向。在运营中，公司坚持源头减量与过程控制相结合的推进原则，聚焦生产冷却与清洗等核心用水环节，持续优化用水结构。</w:t>
      </w:r>
      <w:commentRangeEnd w:id="66"/>
      <w:r>
        <w:rPr>
          <w:rStyle w:val="CommentReference"/>
        </w:rPr>
        <w:commentReference w:id="66"/>
      </w:r>
    </w:p>
    <w:p>
      <w:pPr>
        <w:ind w:firstLineChars="200" w:firstLine="480"/>
      </w:pPr>
      <w:commentRangeStart w:id="67"/>
      <w:r>
        <w:t>公司保持明确的节水目标意识，通过设定年度用水强度控制目标并定期评估，驱动管理绩效持续提升。2025年，公司用水强度降至0.59吨/百万元营业收入，较上年下降3.3%，达成年度控制目标。面向未来，公司将应对区域水资源约束与满足客户绿色供应链期望纳入长期战略考量，稳步推进冷却水循环利用等节水工艺优化与设备升级，致力于在保障生产交付稳定性的同时，进一步降低水资源消耗，实现运营效益与生态保护的协同发展。</w:t>
      </w:r>
      <w:commentRangeEnd w:id="67"/>
      <w:r>
        <w:rPr>
          <w:rStyle w:val="CommentReference"/>
        </w:rPr>
        <w:commentReference w:id="67"/>
      </w:r>
    </w:p>
    <w:p>
      <w:pPr>
        <w:pStyle w:val="3"/>
      </w:pPr>
      <w:r>
        <w:t>（三）影响、风险与机遇管理</w:t>
      </w:r>
    </w:p>
    <w:p>
      <w:pPr>
        <w:ind w:firstLineChars="200" w:firstLine="480"/>
      </w:pPr>
      <w:commentRangeStart w:id="68"/>
      <w:r>
        <w:t>2025年，公司总取水量为12,500立方米，全部来源于市政供水。在用水结构上，生产冷却、清洗及生活用水分别为8,170立方米、3,140立方米和1,190立方米。针对生产过程中产生的8,600立方米工业废水，公司采用多级沉淀与活性炭处理工艺进行净化。处理后的废水总磷、化学需氧量及悬浮物排放浓度分别控制在0.8毫克/升、60毫克/升和30毫克/升以内，均符合相关工业废水排放标准，并经管道排入园区污水处理系统。</w:t>
      </w:r>
      <w:commentRangeEnd w:id="68"/>
      <w:r>
        <w:rPr>
          <w:rStyle w:val="CommentReference"/>
        </w:rPr>
        <w:commentReference w:id="68"/>
      </w:r>
    </w:p>
    <w:p>
      <w:pPr>
        <w:ind w:firstLineChars="200" w:firstLine="480"/>
      </w:pPr>
      <w:commentRangeStart w:id="69"/>
      <w:r>
        <w:t>在风险预防与机遇把握方面，面对区域水资源约束及环保监管趋严可能带来的合规与成本风险，公司通过落实核心用水环节的过程控制与废水处理工艺升级，有效降低运营对局部水资源的消耗强度及废水排放对周边水体的环境压力。此举不仅防范了因排放波动引发的合规风险，亦提升了公司在绿色供应链审查中的响应能力，为持续满足客户对资源利用效率的期望及保障交付稳定性提供支撑。</w:t>
      </w:r>
      <w:commentRangeEnd w:id="69"/>
      <w:r>
        <w:rPr>
          <w:rStyle w:val="CommentReference"/>
        </w:rPr>
        <w:commentReference w:id="69"/>
      </w:r>
    </w:p>
    <w:p>
      <w:pPr>
        <w:pStyle w:val="3"/>
      </w:pPr>
      <w:r>
        <w:t>（四）指标与目标</w:t>
      </w:r>
    </w:p>
    <w:p>
      <w:pPr>
        <w:jc w:val="center"/>
      </w:pPr>
      <w:commentRangeStart w:id="70"/>
      <w:r>
        <w:drawing>
          <wp:inline xmlns:a="http://schemas.openxmlformats.org/drawingml/2006/main" xmlns:pic="http://schemas.openxmlformats.org/drawingml/2006/picture">
            <wp:extent cx="5760000" cy="1008000"/>
            <wp:docPr id="6" name="Picture 6"/>
            <wp:cNvGraphicFramePr>
              <a:graphicFrameLocks noChangeAspect="1"/>
            </wp:cNvGraphicFramePr>
            <a:graphic>
              <a:graphicData uri="http://schemas.openxmlformats.org/drawingml/2006/picture">
                <pic:pic>
                  <pic:nvPicPr>
                    <pic:cNvPr id="0" name="image.png"/>
                    <pic:cNvPicPr/>
                  </pic:nvPicPr>
                  <pic:blipFill>
                    <a:blip r:embed="rId72"/>
                    <a:stretch>
                      <a:fillRect/>
                    </a:stretch>
                  </pic:blipFill>
                  <pic:spPr>
                    <a:xfrm>
                      <a:off x="0" y="0"/>
                      <a:ext cx="5760000" cy="1008000"/>
                    </a:xfrm>
                    <a:prstGeom prst="rect"/>
                  </pic:spPr>
                </pic:pic>
              </a:graphicData>
            </a:graphic>
          </wp:inline>
        </w:drawing>
      </w:r>
      <w:commentRangeEnd w:id="70"/>
      <w:r>
        <w:rPr>
          <w:rStyle w:val="CommentReference"/>
        </w:rPr>
        <w:commentReference w:id="70"/>
      </w:r>
    </w:p>
    <w:p>
      <w:pPr>
        <w:pStyle w:val="2"/>
      </w:pPr>
      <w:bookmarkStart w:id="24" w:name="GS_TOC_024"/>
      <w:r>
        <w:t>八、生态系统与生物多样性保护</w:t>
      </w:r>
      <w:bookmarkEnd w:id="24"/>
    </w:p>
    <w:p>
      <w:pPr>
        <w:pStyle w:val="3"/>
      </w:pPr>
      <w:r>
        <w:t>（一）治理</w:t>
      </w:r>
    </w:p>
    <w:p>
      <w:pPr>
        <w:ind w:firstLineChars="200" w:firstLine="480"/>
      </w:pPr>
      <w:commentRangeStart w:id="71"/>
      <w:r>
        <w:t>晟原精密在经营活动中持续关注上游原材料获取及日常生产运营对周边土壤、水体及区域自然生态的潜在影响。公司结合精密电子元器件制造的经营实际，将生态环境保护纳入日常合规管理范畴，审慎评估资源消耗与排放活动对生态环境的可能影响。在治理层面，公司关注相关基础事项的职责衔接与协调安排，逐步完善内部环境管理要求，以应对生态监管趋势及供应链绿色要求，防范潜在的环境合规风险。</w:t>
      </w:r>
      <w:commentRangeEnd w:id="71"/>
      <w:r>
        <w:rPr>
          <w:rStyle w:val="CommentReference"/>
        </w:rPr>
        <w:commentReference w:id="71"/>
      </w:r>
    </w:p>
    <w:p>
      <w:pPr>
        <w:pStyle w:val="3"/>
      </w:pPr>
      <w:r>
        <w:t>（二）战略</w:t>
      </w:r>
    </w:p>
    <w:p>
      <w:pPr>
        <w:ind w:firstLineChars="200" w:firstLine="480"/>
      </w:pPr>
      <w:commentRangeStart w:id="72"/>
      <w:r>
        <w:t>面向长期稳健经营，晟原精密将生态环境保护作为可持续发展战略的重要组成部分，秉持预防为主与绿色发展的基本原则。公司重点关注上游矿产开采及自身运营活动对区域生态平衡的潜在影响，积极顺应生态监管趋严及供应链绿色标准提升的行业趋势。在后续推进方向上，公司将生态友好理念逐步向业务链条延伸，依托绿色采购与环保工艺改进，不断优化资源利用效率，力求在稳健应对环境要求的同时，提升产品在注重可持续发展的客户群体中的综合竞争力，实现商业价值与生态保护的协同共进。</w:t>
      </w:r>
      <w:commentRangeEnd w:id="72"/>
      <w:r>
        <w:rPr>
          <w:rStyle w:val="CommentReference"/>
        </w:rPr>
        <w:commentReference w:id="72"/>
      </w:r>
    </w:p>
    <w:p>
      <w:pPr>
        <w:pStyle w:val="3"/>
      </w:pPr>
      <w:r>
        <w:t>（三）影响、风险与机遇管理</w:t>
      </w:r>
    </w:p>
    <w:p>
      <w:pPr>
        <w:pStyle w:val="4"/>
      </w:pPr>
      <w:r>
        <w:t>1. 生态保护管理机制</w:t>
      </w:r>
    </w:p>
    <w:p>
      <w:pPr>
        <w:ind w:firstLineChars="200" w:firstLine="480"/>
      </w:pPr>
      <w:commentRangeStart w:id="73"/>
      <w:r>
        <w:t>晟原精密结合精密电子元器件与连接器制造的经营特点，逐步建立与完善生态环境保护管理框架。公司关注上游原材料获取及日常生产运营中可能涉及的资源消耗与排放活动，将生态影响关注纳入内部合规管理范畴，明确相关管理要求与责任衔接，审慎评估经营活动对周边土壤、水体及区域自然生态的潜在影响。在日常运营管控方面，公司围绕生产流程中的关键环节，持续推进必要的信息记录、风险识别与合规审查安排，关注环保工艺改进与资源利用效率提升，以应对生态监管趋严及供应链绿色标准提升的行业趋势。公司亦关注客户及一级供应商对生态环境保护的合规要求，逐步将生态友好理念向业务链条延伸，通过绿色采购与工艺优化等方向性安排，防范潜在环境合规风险，支撑长期稳健经营。</w:t>
      </w:r>
      <w:commentRangeEnd w:id="73"/>
      <w:r>
        <w:rPr>
          <w:rStyle w:val="CommentReference"/>
        </w:rPr>
        <w:commentReference w:id="73"/>
      </w:r>
    </w:p>
    <w:p>
      <w:pPr>
        <w:pStyle w:val="3"/>
      </w:pPr>
      <w:r>
        <w:t>（四）指标与目标</w:t>
      </w:r>
    </w:p>
    <w:p>
      <w:pPr>
        <w:ind w:firstLineChars="200" w:firstLine="480"/>
      </w:pPr>
      <w:commentRangeStart w:id="74"/>
      <w:r>
        <w:t>晟原精密高度重视生态系统与生物多样性保护管理，正着手建立以生态保护相关投入、涉及生态敏感区域的运营设施数量等为核心的指标管理体系。公司正在推进相关数据的统计、收集、校验与跟踪，并将有关结果纳入后续报告期披露，以落实议题管理、提升相关能力。</w:t>
      </w:r>
      <w:commentRangeEnd w:id="74"/>
      <w:r>
        <w:rPr>
          <w:rStyle w:val="CommentReference"/>
        </w:rPr>
        <w:commentReference w:id="74"/>
      </w:r>
    </w:p>
    <w:p>
      <w:pPr>
        <w:pStyle w:val="1"/>
      </w:pPr>
      <w:bookmarkStart w:id="25" w:name="GS_TOC_025"/>
      <w:r>
        <w:t>第四章 保障员工福祉与促进社会和谐</w:t>
      </w:r>
      <w:bookmarkEnd w:id="25"/>
    </w:p>
    <w:p>
      <w:pPr>
        <w:pStyle w:val="2"/>
      </w:pPr>
      <w:bookmarkStart w:id="26" w:name="GS_TOC_026"/>
      <w:r>
        <w:t>一、人力资本发展</w:t>
      </w:r>
      <w:bookmarkEnd w:id="26"/>
    </w:p>
    <w:p>
      <w:pPr>
        <w:pStyle w:val="3"/>
      </w:pPr>
      <w:r>
        <w:t>（一）治理</w:t>
      </w:r>
    </w:p>
    <w:p>
      <w:pPr>
        <w:ind w:firstLineChars="200" w:firstLine="480"/>
      </w:pPr>
      <w:commentRangeStart w:id="75"/>
      <w:r>
        <w:t>晟原精密建立系统的人力资源管理体系，切实保障员工权益并赋能员工成长。公司遵循平等择优的招聘原则，杜绝就业歧视，致力于构建多元化团队。薪酬体系以岗位价值和业绩为导向，定期开展审计以确保性别薪酬平等。在依法全面落实各项法定社会保障的基础上，公司提供补充商业保险与年度体检等福利，并严格规范工时与休假管理。</w:t>
      </w:r>
      <w:commentRangeEnd w:id="75"/>
      <w:r>
        <w:rPr>
          <w:rStyle w:val="CommentReference"/>
        </w:rPr>
        <w:commentReference w:id="75"/>
      </w:r>
    </w:p>
    <w:p>
      <w:pPr>
        <w:ind w:firstLineChars="200" w:firstLine="480"/>
      </w:pPr>
      <w:commentRangeStart w:id="76"/>
      <w:r>
        <w:t>公司构建了涵盖入职引导、安全生产、岗位技能及管理能力等维度的培训体系，2025年人均培训学时12小时，培训覆盖率86%。公司坚持内部晋升优先，设立技能认证通道并推行导师制以强化梯队建设。年度绩效评估结果直接与薪酬晋升挂钩，同时公司资助员工参与专业学习与学历教育。</w:t>
      </w:r>
      <w:commentRangeEnd w:id="76"/>
      <w:r>
        <w:rPr>
          <w:rStyle w:val="CommentReference"/>
        </w:rPr>
        <w:commentReference w:id="76"/>
      </w:r>
    </w:p>
    <w:p>
      <w:pPr>
        <w:ind w:firstLineChars="200" w:firstLine="480"/>
      </w:pPr>
      <w:commentRangeStart w:id="77"/>
      <w:r>
        <w:t>在民主管理方面，公司依托工会与职工代表大会，就薪酬福利等议题开展沟通。通过职工信箱、在线反馈系统及绩效面谈建立双向沟通机制。2025年公司持续开展满意度调查并积极回应诉求，全年无重大劳资纠纷，劳动关系和谐稳定。</w:t>
      </w:r>
      <w:commentRangeEnd w:id="77"/>
      <w:r>
        <w:rPr>
          <w:rStyle w:val="CommentReference"/>
        </w:rPr>
        <w:commentReference w:id="77"/>
      </w:r>
    </w:p>
    <w:p>
      <w:pPr>
        <w:pStyle w:val="3"/>
      </w:pPr>
      <w:r>
        <w:t>（二）战略</w:t>
      </w:r>
    </w:p>
    <w:p>
      <w:pPr>
        <w:ind w:firstLineChars="200" w:firstLine="480"/>
      </w:pPr>
      <w:commentRangeStart w:id="78"/>
      <w:r>
        <w:t>晟原精密将人力资本视为支撑精密制造与技术创新的核心驱动力，确立与业务战略相匹配的人才发展长期方向。在推进原则上，公司坚持能力导向与多元包容并重，在团队建设中持续深化性别平等与文化多样性，打造具备多元背景的高素质人才队伍。</w:t>
      </w:r>
      <w:commentRangeEnd w:id="78"/>
      <w:r>
        <w:rPr>
          <w:rStyle w:val="CommentReference"/>
        </w:rPr>
        <w:commentReference w:id="78"/>
      </w:r>
    </w:p>
    <w:p>
      <w:pPr>
        <w:ind w:firstLineChars="200" w:firstLine="480"/>
      </w:pPr>
      <w:commentRangeStart w:id="79"/>
      <w:r>
        <w:t>在重点目标方面，公司聚焦核心技术人才梯队建设与员工专业技能跃升，以应对行业升级带来的技能匹配需求。通过拓宽职业发展通道，支持员工实现长期成长，夯实应对业务扩张的人才基础。同时，公司将人才发展战略与区域产业生态相融合，在苏州工业园区开展职业教育与技能转移试点项目，致力于为精密制造行业输送高素质技术人才，促进产业链人才生态的良性循环与可持续发展。</w:t>
      </w:r>
      <w:commentRangeEnd w:id="79"/>
      <w:r>
        <w:rPr>
          <w:rStyle w:val="CommentReference"/>
        </w:rPr>
        <w:commentReference w:id="79"/>
      </w:r>
    </w:p>
    <w:p>
      <w:pPr>
        <w:pStyle w:val="3"/>
      </w:pPr>
      <w:r>
        <w:t>（三）影响、风险与机遇管理</w:t>
      </w:r>
    </w:p>
    <w:p>
      <w:pPr>
        <w:pStyle w:val="4"/>
      </w:pPr>
      <w:r>
        <w:t>1. 优化多元团队结构与落实基层权益保障</w:t>
      </w:r>
    </w:p>
    <w:p>
      <w:pPr>
        <w:ind w:firstLineChars="200" w:firstLine="480"/>
      </w:pPr>
      <w:commentRangeStart w:id="80"/>
      <w:r>
        <w:t>晟原精密持续深化多元化与包容性的职场环境建设。截至2025年末，公司在册员工860人，其中女性员工占比39.5%，本科及以上学历员工占比41.9%，团队涵盖不同性别、年龄与教育背景，形成多元互补的人才结构。在薪酬权益保障方面，公司注重分配公平并向基层倾斜，2025年一线员工薪资增幅达5.1%，高于管理及技术人员整体增幅，切实保障基层员工共享公司发展成果。</w:t>
      </w:r>
      <w:commentRangeEnd w:id="80"/>
      <w:r>
        <w:rPr>
          <w:rStyle w:val="CommentReference"/>
        </w:rPr>
        <w:commentReference w:id="80"/>
      </w:r>
    </w:p>
    <w:p>
      <w:pPr>
        <w:ind w:firstLineChars="200" w:firstLine="480"/>
      </w:pPr>
      <w:commentRangeStart w:id="81"/>
      <w:r>
        <w:t>在平等雇佣与人才留存方面，公司保持开放的招聘渠道，新入职员工涵盖校园招聘与社会招聘，整体试用期转正率达87.5%。2025年员工自愿离职率控制在7.8%，反映出包容性职场环境的有效性与员工认同度。</w:t>
      </w:r>
      <w:commentRangeEnd w:id="81"/>
      <w:r>
        <w:rPr>
          <w:rStyle w:val="CommentReference"/>
        </w:rPr>
        <w:commentReference w:id="81"/>
      </w:r>
    </w:p>
    <w:p>
      <w:pPr>
        <w:ind w:firstLineChars="200" w:firstLine="480"/>
      </w:pPr>
      <w:commentRangeStart w:id="82"/>
      <w:r>
        <w:t>公司注重员工诉求的实质性回应与权益闭环管理。针对职工代表大会及职工信箱等渠道收集的意见建议，公司严格执行限期反馈与落实机制。2025年，职代会相关建议落实率超80%，日常信箱反馈均实现按期闭环处理。年内员工整体满意度评分提升至8.1分（满分10分），和谐稳定的劳动关系得到进一步巩固。</w:t>
      </w:r>
      <w:commentRangeEnd w:id="82"/>
      <w:r>
        <w:rPr>
          <w:rStyle w:val="CommentReference"/>
        </w:rPr>
        <w:commentReference w:id="82"/>
      </w:r>
    </w:p>
    <w:p>
      <w:pPr>
        <w:pStyle w:val="4"/>
      </w:pPr>
      <w:r>
        <w:t>2. 员工福利保障</w:t>
      </w:r>
    </w:p>
    <w:p>
      <w:pPr>
        <w:ind w:firstLineChars="200" w:firstLine="480"/>
      </w:pPr>
      <w:r>
        <w:t>公司围绕员工工作体验、身心健康与生活支持等方面持续完善福利保障安排，通过多层次福利项目提升员工获得感与组织凝聚力。</w:t>
      </w:r>
    </w:p>
    <w:p>
      <w:pPr>
        <w:pStyle w:val="3"/>
      </w:pPr>
      <w:r>
        <w:t>（四）指标与目标</w:t>
      </w:r>
    </w:p>
    <w:p>
      <w:pPr>
        <w:jc w:val="center"/>
      </w:pPr>
      <w:commentRangeStart w:id="83"/>
      <w:r>
        <w:drawing>
          <wp:inline xmlns:a="http://schemas.openxmlformats.org/drawingml/2006/main" xmlns:pic="http://schemas.openxmlformats.org/drawingml/2006/picture">
            <wp:extent cx="5760000" cy="3291429"/>
            <wp:docPr id="7" name="Picture 7"/>
            <wp:cNvGraphicFramePr>
              <a:graphicFrameLocks noChangeAspect="1"/>
            </wp:cNvGraphicFramePr>
            <a:graphic>
              <a:graphicData uri="http://schemas.openxmlformats.org/drawingml/2006/picture">
                <pic:pic>
                  <pic:nvPicPr>
                    <pic:cNvPr id="0" name="image.png"/>
                    <pic:cNvPicPr/>
                  </pic:nvPicPr>
                  <pic:blipFill>
                    <a:blip r:embed="rId73"/>
                    <a:stretch>
                      <a:fillRect/>
                    </a:stretch>
                  </pic:blipFill>
                  <pic:spPr>
                    <a:xfrm>
                      <a:off x="0" y="0"/>
                      <a:ext cx="5760000" cy="3291429"/>
                    </a:xfrm>
                    <a:prstGeom prst="rect"/>
                  </pic:spPr>
                </pic:pic>
              </a:graphicData>
            </a:graphic>
          </wp:inline>
        </w:drawing>
      </w:r>
      <w:commentRangeEnd w:id="83"/>
      <w:r>
        <w:rPr>
          <w:rStyle w:val="CommentReference"/>
        </w:rPr>
        <w:commentReference w:id="83"/>
      </w:r>
    </w:p>
    <w:p>
      <w:pPr>
        <w:pStyle w:val="2"/>
      </w:pPr>
      <w:bookmarkStart w:id="27" w:name="GS_TOC_027"/>
      <w:r>
        <w:t>二、职业健康与安全</w:t>
      </w:r>
      <w:bookmarkEnd w:id="27"/>
    </w:p>
    <w:p>
      <w:pPr>
        <w:pStyle w:val="3"/>
      </w:pPr>
      <w:r>
        <w:t>（一）治理</w:t>
      </w:r>
    </w:p>
    <w:p>
      <w:pPr>
        <w:ind w:firstLineChars="200" w:firstLine="480"/>
      </w:pPr>
      <w:commentRangeStart w:id="84"/>
      <w:r>
        <w:t>公司依据 ISO 45001 职业健康安全管理体系及相关法规，建立职业健康安全管理架构与制度体系。EHS部统筹日常管理，并建立由总经理任总指挥的应急管理架构，明确生产、人力资源、总务等部门在救援、医疗、联络与后勤方面的协同职责。</w:t>
      </w:r>
      <w:commentRangeEnd w:id="84"/>
      <w:r>
        <w:rPr>
          <w:rStyle w:val="CommentReference"/>
        </w:rPr>
        <w:commentReference w:id="84"/>
      </w:r>
    </w:p>
    <w:p>
      <w:pPr>
        <w:ind w:firstLineChars="200" w:firstLine="480"/>
      </w:pPr>
      <w:commentRangeStart w:id="85"/>
      <w:r>
        <w:t>公司制定专项管理制度与员工手册，实施班组日检、部门周检、EHS月检及外部专家年检的四级监督检查机制，检查结果于月度管理会通报。规范安全培训、工时管理与健康体检等保障机制，落实全员年度安全培训与免费体检，依法缴纳工伤保险并配置补充商业保险。</w:t>
      </w:r>
      <w:commentRangeEnd w:id="85"/>
      <w:r>
        <w:rPr>
          <w:rStyle w:val="CommentReference"/>
        </w:rPr>
        <w:commentReference w:id="85"/>
      </w:r>
    </w:p>
    <w:p>
      <w:pPr>
        <w:ind w:firstLineChars="200" w:firstLine="480"/>
      </w:pPr>
      <w:commentRangeStart w:id="86"/>
      <w:r>
        <w:t>EHS部定期分析安全管理数据以识别系统性问题，向管理层提出改进建议，并设立安全创新激励机制，鼓励员工参与风险降低与管理提升。</w:t>
      </w:r>
      <w:commentRangeEnd w:id="86"/>
      <w:r>
        <w:rPr>
          <w:rStyle w:val="CommentReference"/>
        </w:rPr>
        <w:commentReference w:id="86"/>
      </w:r>
    </w:p>
    <w:p>
      <w:pPr>
        <w:pStyle w:val="3"/>
      </w:pPr>
      <w:r>
        <w:t>（二）战略</w:t>
      </w:r>
    </w:p>
    <w:p>
      <w:pPr>
        <w:ind w:firstLineChars="200" w:firstLine="480"/>
      </w:pPr>
      <w:commentRangeStart w:id="87"/>
      <w:r>
        <w:t>公司始终将保障员工生命安全与身体健康置于运营管理的核心位置，致力于构建与企业发展相适应的职业健康安全长效机制。针对精密冲压、电镀、焊接及喷涂等工序涉及的机械操作与化学品接触等特定风险，公司确立了技术升级与管理优化协同推进的原则。在技术防范方面，公司持续推进生产设备的自动化改造，报告期内生产线自动化率约达72%，从源头降低人工作业的安全风险暴露。在管理导向方面，公司严格贯彻国家安全生产与职业病防治相关法律法规要求，坚持风险防控关口前移，将职业健康安全管理深度融入生产工艺改进与作业流程规范之中。公司着眼于长效安全文化的培育，通过持续强化高危工序的专项技能赋能与全员安全意识塑造，不断提升整体风险防范能力，旨在为员工创造安全、健康的作业环境，并为企业的稳健经营提供坚实保障。</w:t>
      </w:r>
      <w:commentRangeEnd w:id="87"/>
      <w:r>
        <w:rPr>
          <w:rStyle w:val="CommentReference"/>
        </w:rPr>
        <w:commentReference w:id="87"/>
      </w:r>
    </w:p>
    <w:p>
      <w:pPr>
        <w:pStyle w:val="3"/>
      </w:pPr>
      <w:r>
        <w:t>（三）影响、风险与机遇管理</w:t>
      </w:r>
    </w:p>
    <w:p>
      <w:pPr>
        <w:pStyle w:val="4"/>
      </w:pPr>
      <w:r>
        <w:t>1. 危险源管控与职业健康保障</w:t>
      </w:r>
    </w:p>
    <w:p>
      <w:pPr>
        <w:ind w:firstLineChars="200" w:firstLine="480"/>
      </w:pPr>
      <w:commentRangeStart w:id="88"/>
      <w:r>
        <w:t>公司针对冲压、电镀、焊接及喷涂等核心工序，系统辨识机械伤害、噪声暴露等危险源，配置安全光栅、隔音罩及局部排烟等防护设施。建立隐患分级整改机制，重大隐患限期3日整改并暂停相关作业。在劳动保护方面，公司按工序标准配置个人防护用品，实施年度适配性检查与易耗品定期更换。</w:t>
      </w:r>
      <w:commentRangeEnd w:id="88"/>
      <w:r>
        <w:rPr>
          <w:rStyle w:val="CommentReference"/>
        </w:rPr>
        <w:commentReference w:id="88"/>
      </w:r>
    </w:p>
    <w:p>
      <w:pPr>
        <w:ind w:firstLineChars="200" w:firstLine="480"/>
      </w:pPr>
      <w:commentRangeStart w:id="89"/>
      <w:r>
        <w:t>公司落实入职、在职及离职全周期职业健康体检，针对接触特定有害因素的岗位增加专项检查项目，并建立职业健康档案。对体检异常人员及时采取医学观察与岗位调整措施。报告期内，公司开展安全生产专项培训24场，覆盖720人次，全年安全培训整体覆盖率达86%。</w:t>
      </w:r>
      <w:commentRangeEnd w:id="89"/>
      <w:r>
        <w:rPr>
          <w:rStyle w:val="CommentReference"/>
        </w:rPr>
        <w:commentReference w:id="89"/>
      </w:r>
    </w:p>
    <w:p>
      <w:pPr>
        <w:ind w:firstLineChars="200" w:firstLine="480"/>
      </w:pPr>
      <w:commentRangeStart w:id="90"/>
      <w:r>
        <w:t>通过持续深化风险防控与劳动保护，公司安全管理绩效稳步提升。报告期内，公司发生工伤事故8起，千人伤害率降至9.3‰，安全隐患整改率达96%，当年新增职业病确诊为0例。</w:t>
      </w:r>
      <w:commentRangeEnd w:id="90"/>
      <w:r>
        <w:rPr>
          <w:rStyle w:val="CommentReference"/>
        </w:rPr>
        <w:commentReference w:id="90"/>
      </w:r>
    </w:p>
    <w:p>
      <w:pPr>
        <w:pStyle w:val="3"/>
      </w:pPr>
      <w:r>
        <w:t>（四）指标与目标</w:t>
      </w:r>
    </w:p>
    <w:p>
      <w:pPr>
        <w:ind w:firstLineChars="200" w:firstLine="480"/>
      </w:pPr>
      <w:commentRangeStart w:id="91"/>
      <w:r>
        <w:t>公司高度重视职业健康安全管理，正着手建立以员工健康安全培训覆盖率、安全培训总时长、年度重大安全事故数量及防治职业病投入等为核心的指标管理体系。公司正在推进相关数据的统计、收集、校验与跟踪，并将有关结果纳入后续报告期披露，以落实议题管理、提升相关能力。</w:t>
      </w:r>
      <w:commentRangeEnd w:id="91"/>
      <w:r>
        <w:rPr>
          <w:rStyle w:val="CommentReference"/>
        </w:rPr>
        <w:commentReference w:id="91"/>
      </w:r>
    </w:p>
    <w:p>
      <w:pPr>
        <w:pStyle w:val="2"/>
      </w:pPr>
      <w:bookmarkStart w:id="28" w:name="GS_TOC_028"/>
      <w:r>
        <w:t>三、乡村振兴与社会贡献</w:t>
      </w:r>
      <w:bookmarkEnd w:id="28"/>
    </w:p>
    <w:p>
      <w:pPr>
        <w:pStyle w:val="3"/>
      </w:pPr>
      <w:r>
        <w:t>（一）治理</w:t>
      </w:r>
    </w:p>
    <w:p>
      <w:pPr>
        <w:ind w:firstLineChars="200" w:firstLine="480"/>
      </w:pPr>
      <w:commentRangeStart w:id="92"/>
      <w:r>
        <w:t>晟原精密将社区沟通纳入日常治理安排，围绕维护邻里关系、降低环境影响与履行社会责任等目标，与工业园区周边社区及居委会建立定期沟通机制。2025年，公司每半年组织社区座谈，介绍环保措施与噪音处理进展；每年组织两次工厂开放日，邀请社区居民和学生了解绿色制造工艺；每季度在公司网站及园区社区公告栏发布污水、废气排放监测数据；每年组织环境突发应急演练并邀请社区代表旁听。</w:t>
      </w:r>
      <w:commentRangeEnd w:id="92"/>
      <w:r>
        <w:rPr>
          <w:rStyle w:val="CommentReference"/>
        </w:rPr>
        <w:commentReference w:id="92"/>
      </w:r>
    </w:p>
    <w:p>
      <w:pPr>
        <w:ind w:firstLineChars="200" w:firstLine="480"/>
      </w:pPr>
      <w:commentRangeStart w:id="93"/>
      <w:r>
        <w:t>在社会贡献方面，公司结合属地需求开展公益投入。2025年，公司向本地教育慈善基金捐赠50万元，资助12名困难学生完成学业。公司重视社区反馈，对居民关于工业园区交通压力的关注，配合园区管委会参与交通疏导规划讨论。报告期内，公司获得工业园区"绿色工厂"称号及"诚信示范企业"荣誉。</w:t>
      </w:r>
      <w:commentRangeEnd w:id="93"/>
      <w:r>
        <w:rPr>
          <w:rStyle w:val="CommentReference"/>
        </w:rPr>
        <w:commentReference w:id="93"/>
      </w:r>
    </w:p>
    <w:p>
      <w:pPr>
        <w:pStyle w:val="3"/>
      </w:pPr>
      <w:r>
        <w:t>（二）战略</w:t>
      </w:r>
    </w:p>
    <w:p>
      <w:pPr>
        <w:ind w:firstLineChars="200" w:firstLine="480"/>
      </w:pPr>
      <w:commentRangeStart w:id="94"/>
      <w:r>
        <w:t>晟原精密将乡村振兴与社会贡献视为企业长期稳健经营与履行社会责任的重要组成部分。在战略方向上，公司秉持互利共赢与包容性增长原则，密切关注属地社区福祉与区域经济协调发展，致力于将业务发展融入地方社会进步。公司重点关注通过产业带动、技能提升与社区共建等方式，为改善居民生活水平、促进城乡均衡提供基础支持。在推进过程中，公司坚持透明沟通与需求导向，积极回应利益相关方诉求，以稳健运营和持续的价值创造深化与本地社区及公众的互信合作。此举旨在增强员工归属感与社区认同，为企业在属地运营、供应链稳定及顺应政策导向方面创造长期发展机遇，夯实可持续发展的社会基础。</w:t>
      </w:r>
      <w:commentRangeEnd w:id="94"/>
      <w:r>
        <w:rPr>
          <w:rStyle w:val="CommentReference"/>
        </w:rPr>
        <w:commentReference w:id="94"/>
      </w:r>
    </w:p>
    <w:p>
      <w:pPr>
        <w:pStyle w:val="3"/>
      </w:pPr>
      <w:r>
        <w:t>（三）影响、风险与机遇管理</w:t>
      </w:r>
    </w:p>
    <w:p>
      <w:pPr>
        <w:ind w:firstLineChars="200" w:firstLine="480"/>
      </w:pPr>
      <w:commentRangeStart w:id="95"/>
      <w:r>
        <w:t>在影响管理方面，晟原精密关注自身运营对属地社区及乡村发展的综合影响。公司通过评估本地用工、技能培训及社区公益投入的实际成效，持续优化资源配置，力求在促进区域经济发展、改善居民生活水平与推动城乡均衡方面发挥积极作用。</w:t>
      </w:r>
      <w:commentRangeEnd w:id="95"/>
      <w:r>
        <w:rPr>
          <w:rStyle w:val="CommentReference"/>
        </w:rPr>
        <w:commentReference w:id="95"/>
      </w:r>
    </w:p>
    <w:p>
      <w:pPr>
        <w:ind w:firstLineChars="200" w:firstLine="480"/>
      </w:pPr>
      <w:commentRangeStart w:id="96"/>
      <w:r>
        <w:t>在风险管理方面，公司密切关注属地用工环境变化与社区关系动态，将员工流失风险与社区沟通不畅可能引发的运营干扰纳入日常管理关注范畴。通过深化属地融合、保持透明沟通并积极响应利益相关方诉求，公司致力于防范潜在的社会与运营风险，维护稳定的运营环境。</w:t>
      </w:r>
      <w:commentRangeEnd w:id="96"/>
      <w:r>
        <w:rPr>
          <w:rStyle w:val="CommentReference"/>
        </w:rPr>
        <w:commentReference w:id="96"/>
      </w:r>
    </w:p>
    <w:p>
      <w:pPr>
        <w:ind w:firstLineChars="200" w:firstLine="480"/>
      </w:pPr>
      <w:commentRangeStart w:id="97"/>
      <w:r>
        <w:t>在机遇管理方面，公司将参与乡村振兴与社区共建视为把握政策导向与深化属地合作的重要机遇。通过主动融入地方发展大局，公司致力于在获取政策支持、稳固属地供应链及吸引保留优秀人才方面创造长期价值，从而夯实企业稳健运营与可持续发展的社会基础。</w:t>
      </w:r>
      <w:commentRangeEnd w:id="97"/>
      <w:r>
        <w:rPr>
          <w:rStyle w:val="CommentReference"/>
        </w:rPr>
        <w:commentReference w:id="97"/>
      </w:r>
    </w:p>
    <w:p>
      <w:pPr>
        <w:pStyle w:val="3"/>
      </w:pPr>
      <w:r>
        <w:t>（四）指标与目标</w:t>
      </w:r>
    </w:p>
    <w:p>
      <w:pPr>
        <w:ind w:firstLineChars="200" w:firstLine="480"/>
      </w:pPr>
      <w:commentRangeStart w:id="98"/>
      <w:r>
        <w:t>晟原精密高度重视乡村振兴与社会贡献管理，正着手建立以乡村振兴总投入金额、公益慈善及志愿活动等投入金额等为核心的指标管理体系。公司正在推进相关数据的统计、收集、校验与跟踪，并将有关结果纳入后续报告期披露，以落实议题管理、提升相关能力。</w:t>
      </w:r>
      <w:commentRangeEnd w:id="98"/>
      <w:r>
        <w:rPr>
          <w:rStyle w:val="CommentReference"/>
        </w:rPr>
        <w:commentReference w:id="98"/>
      </w:r>
    </w:p>
    <w:p>
      <w:pPr>
        <w:pStyle w:val="1"/>
      </w:pPr>
      <w:bookmarkStart w:id="29" w:name="GS_TOC_029"/>
      <w:r>
        <w:t>第五章 坚持创新驱动与履行产品责任</w:t>
      </w:r>
      <w:bookmarkEnd w:id="29"/>
    </w:p>
    <w:p>
      <w:pPr>
        <w:pStyle w:val="2"/>
      </w:pPr>
      <w:bookmarkStart w:id="30" w:name="GS_TOC_030"/>
      <w:r>
        <w:t>一、创新驱动</w:t>
      </w:r>
      <w:bookmarkEnd w:id="30"/>
    </w:p>
    <w:p>
      <w:pPr>
        <w:pStyle w:val="3"/>
      </w:pPr>
      <w:r>
        <w:t>（一）治理</w:t>
      </w:r>
    </w:p>
    <w:p>
      <w:pPr>
        <w:ind w:firstLineChars="200" w:firstLine="480"/>
      </w:pPr>
      <w:commentRangeStart w:id="99"/>
      <w:r>
        <w:t>公司设立产品研发中心与工艺创新中心，组建约90人的专业研发团队，明确各中心在技术预研、产品开发与工艺优化等方面的职责分工，为创新活动提供组织保障。公司配备模具研发实验室、连接器性能测试室等专业设施，保障研发项目的实施与验证。在项目管理方面，公司围绕高频率与高密度连接器设计、新能源汽车用高可靠性端子开发、工艺自动化升级及绿色材料应用等重点方向，开展项目规划与立项管理。2025年，公司研发投入约3,900万元，占营业收入的6.0%。通过规范的研发过程管理与知识产权布局，公司近三年累计获得授权发明专利12项、实用新型专利35项，其中新能源汽车与节能减排相关专利占比超过40%，有效支撑核心技术攻关与产品升级。</w:t>
      </w:r>
      <w:commentRangeEnd w:id="99"/>
      <w:r>
        <w:rPr>
          <w:rStyle w:val="CommentReference"/>
        </w:rPr>
        <w:commentReference w:id="99"/>
      </w:r>
    </w:p>
    <w:p>
      <w:pPr>
        <w:pStyle w:val="3"/>
      </w:pPr>
      <w:r>
        <w:t>（二）战略</w:t>
      </w:r>
    </w:p>
    <w:p>
      <w:pPr>
        <w:ind w:firstLineChars="200" w:firstLine="480"/>
      </w:pPr>
      <w:commentRangeStart w:id="100"/>
      <w:r>
        <w:t>面对行业技术快速迭代与下游产业升级需求，公司坚持以市场需求为导向、以开放协同为支撑的创新推进原则，持续提升技术积累与成果转化能力。在研发管理过程中，公司注重提升创新效率与敏捷响应能力，通过优化研发流程，将产品平均研发周期由18周缩短至15周，以更高效地响应客户对精密连接解决方案的需求。2025年，公司共完成22个新产品开发项目，其中14项已获得客户量产验证，有效推动了技术研发向市场化应用的转化。</w:t>
      </w:r>
      <w:commentRangeEnd w:id="100"/>
      <w:r>
        <w:rPr>
          <w:rStyle w:val="CommentReference"/>
        </w:rPr>
        <w:commentReference w:id="100"/>
      </w:r>
    </w:p>
    <w:p>
      <w:pPr>
        <w:ind w:firstLineChars="200" w:firstLine="480"/>
      </w:pPr>
      <w:commentRangeStart w:id="101"/>
      <w:r>
        <w:t>同时，公司积极拓展产学研协同创新机制，整合外部科研资源以夯实底层技术储备。报告期内，公司与2家高校研究机构建立合作关系，聚焦材料轻量化与绿色工艺等前沿领域开展联合研究。通过内部工程化能力与外部基础研究的结合，公司不断完善技术创新体系，为应对行业技术挑战、把握产业链高质量发展机遇提供持续动能。</w:t>
      </w:r>
      <w:commentRangeEnd w:id="101"/>
      <w:r>
        <w:rPr>
          <w:rStyle w:val="CommentReference"/>
        </w:rPr>
        <w:commentReference w:id="101"/>
      </w:r>
    </w:p>
    <w:p>
      <w:pPr>
        <w:pStyle w:val="3"/>
      </w:pPr>
      <w:r>
        <w:t>（三）影响、风险与机遇管理</w:t>
      </w:r>
    </w:p>
    <w:p>
      <w:pPr>
        <w:pStyle w:val="4"/>
      </w:pPr>
      <w:r>
        <w:t>1. 强化研发人才激励与能力发展</w:t>
      </w:r>
    </w:p>
    <w:p>
      <w:pPr>
        <w:ind w:firstLineChars="200" w:firstLine="480"/>
      </w:pPr>
      <w:commentRangeStart w:id="102"/>
      <w:r>
        <w:t>公司高度重视研发人才队伍建设，将其作为应对行业技术快速迭代、保持核心竞争力的关键支撑。在团队能力发展方面，公司结合精密电子元器件领域的技术演进趋势，为研发人员提供系统的专业技能培训与前沿技术交流机会，依托重大研发项目与产学研合作平台，持续拓宽团队的技术视野并提升工程化攻关能力。在激励支持方面，公司建立与技术创新成果、项目转化效率相挂钩的绩效评价与激励机制，通过物质奖励与职业发展通道相结合的方式，充分激发研发人员的创新活力。同时，公司注重营造鼓励探索、协同攻关的创新文化，保障核心团队在技术预研与产品开发过程中的积极性与稳定性，为公司持续把握产业链高质量发展机遇提供坚实的人才保障。</w:t>
      </w:r>
      <w:commentRangeEnd w:id="102"/>
      <w:r>
        <w:rPr>
          <w:rStyle w:val="CommentReference"/>
        </w:rPr>
        <w:commentReference w:id="102"/>
      </w:r>
    </w:p>
    <w:p>
      <w:pPr>
        <w:pStyle w:val="4"/>
      </w:pPr>
      <w:r>
        <w:t>2. 创新成果转化与知识产权布局</w:t>
      </w:r>
    </w:p>
    <w:p>
      <w:pPr>
        <w:ind w:firstLineChars="200" w:firstLine="480"/>
      </w:pPr>
      <w:commentRangeStart w:id="103"/>
      <w:r>
        <w:t>公司在持续推进技术研发与工艺改进的过程中，注重创新成果的知识产权转化与保护。2025年，公司新增获得授权专利8项，其中发明专利2项，进一步巩固了在精密电子元器件与连接器领域的技术积累。通过不断优化研发流程与深化外部协同创新，公司有效提升了核心技术攻关效率与产品迭代能力。面对行业技术快速迭代与下游产业升级需求，公司持续完善技术创新体系，推动研发成果向具备市场竞争力的产品转化，为把握产业链高质量发展机遇提供技术支撑。</w:t>
      </w:r>
      <w:commentRangeEnd w:id="103"/>
      <w:r>
        <w:rPr>
          <w:rStyle w:val="CommentReference"/>
        </w:rPr>
        <w:commentReference w:id="103"/>
      </w:r>
    </w:p>
    <w:p>
      <w:pPr>
        <w:pStyle w:val="3"/>
      </w:pPr>
      <w:r>
        <w:t>（四）指标与目标</w:t>
      </w:r>
    </w:p>
    <w:p>
      <w:pPr>
        <w:ind w:firstLineChars="200" w:firstLine="480"/>
      </w:pPr>
      <w:commentRangeStart w:id="104"/>
      <w:r>
        <w:t>公司高度重视创新驱动管理，正着手建立以已授权专利项目数、研发经费总额、研发人员数量等为核心的指标管理体系。公司正在推进相关数据的统计、收集、校验与跟踪，并将有关结果纳入后续报告期披露，以落实议题管理、提升相关能力。</w:t>
      </w:r>
      <w:commentRangeEnd w:id="104"/>
      <w:r>
        <w:rPr>
          <w:rStyle w:val="CommentReference"/>
        </w:rPr>
        <w:commentReference w:id="104"/>
      </w:r>
    </w:p>
    <w:p>
      <w:pPr>
        <w:pStyle w:val="2"/>
      </w:pPr>
      <w:bookmarkStart w:id="31" w:name="GS_TOC_031"/>
      <w:r>
        <w:t>二、产品质量与安全</w:t>
      </w:r>
      <w:bookmarkEnd w:id="31"/>
    </w:p>
    <w:p>
      <w:pPr>
        <w:pStyle w:val="3"/>
      </w:pPr>
      <w:r>
        <w:t>（一）治理</w:t>
      </w:r>
    </w:p>
    <w:p>
      <w:pPr>
        <w:ind w:firstLineChars="200" w:firstLine="480"/>
      </w:pPr>
      <w:commentRangeStart w:id="105"/>
      <w:r>
        <w:t>公司建立并持续运行质量管理体系，通过ISO 9001与IATF 16949认证，管理范围覆盖产品设计、供应商管理、制造过程及客户反馈等全生命周期。在日常运营中，公司实施从来料检验、首件确认、过程巡检到出货检验的全流程质量管控，并建立严格的不合格品隔离与处置机制，确保质量记录完整可追溯。</w:t>
      </w:r>
      <w:commentRangeEnd w:id="105"/>
      <w:r>
        <w:rPr>
          <w:rStyle w:val="CommentReference"/>
        </w:rPr>
        <w:commentReference w:id="105"/>
      </w:r>
    </w:p>
    <w:p>
      <w:pPr>
        <w:ind w:firstLineChars="200" w:firstLine="480"/>
      </w:pPr>
      <w:commentRangeStart w:id="106"/>
      <w:r>
        <w:t>在决策与监督机制方面，公司实行质量数据分级上报制度。质量部定期编制质量周报与月报，提交至生产副总与总经理审阅；年度质量报告直接上报董事会可持续发展委员会，为管理层质量决策提供依据。此外，公司每年开展质量管理体系内部审计，由第三方认证机构或内部质量体系委员会执行，验证体系的符合性与有效性，并对审计发现的事项落实整改，推动质量管理水平持续提升。</w:t>
      </w:r>
      <w:commentRangeEnd w:id="106"/>
      <w:r>
        <w:rPr>
          <w:rStyle w:val="CommentReference"/>
        </w:rPr>
        <w:commentReference w:id="106"/>
      </w:r>
    </w:p>
    <w:p>
      <w:pPr>
        <w:pStyle w:val="3"/>
      </w:pPr>
      <w:r>
        <w:t>（二）战略</w:t>
      </w:r>
    </w:p>
    <w:p>
      <w:pPr>
        <w:ind w:firstLineChars="200" w:firstLine="480"/>
      </w:pPr>
      <w:commentRangeStart w:id="107"/>
      <w:r>
        <w:t>晟原精密将保障下游终端设备的使用安全与可靠性作为产品质量与安全的长期战略方向，致力于以高标准制造水平巩固在新能源汽车与消费电子供应链中的地位。公司聚焦高速连接器、精密冲压端子与结构件等核心产品，将电镀、焊接、冲压等关键工序的工艺稳定性与参数控制作为质量管理的关注重点，并针对下游客户的快速迭代需求开展高可靠性连接器专项开发。</w:t>
      </w:r>
      <w:commentRangeEnd w:id="107"/>
      <w:r>
        <w:rPr>
          <w:rStyle w:val="CommentReference"/>
        </w:rPr>
        <w:commentReference w:id="107"/>
      </w:r>
    </w:p>
    <w:p>
      <w:pPr>
        <w:ind w:firstLineChars="200" w:firstLine="480"/>
      </w:pPr>
      <w:commentRangeStart w:id="108"/>
      <w:r>
        <w:t>在推进原则方面，公司坚持预防为主与持续改进，通过实施工序设备升级与自动化改造、深化供应商质量联合改进，不断提升本质质量水平。同时，公司规划质量数字化管理系统建设，旨在实现过程参数实时监控、不合格品精准追溯与质量成本动态分析，推动质量管理向精细化与数字化迈进，为长期稳健经营提供支撑。</w:t>
      </w:r>
      <w:commentRangeEnd w:id="108"/>
      <w:r>
        <w:rPr>
          <w:rStyle w:val="CommentReference"/>
        </w:rPr>
        <w:commentReference w:id="108"/>
      </w:r>
    </w:p>
    <w:p>
      <w:pPr>
        <w:pStyle w:val="3"/>
      </w:pPr>
      <w:r>
        <w:t>（三）影响、风险与机遇管理</w:t>
      </w:r>
    </w:p>
    <w:p>
      <w:pPr>
        <w:ind w:firstLineChars="200" w:firstLine="480"/>
      </w:pPr>
      <w:commentRangeStart w:id="109"/>
      <w:r>
        <w:t>2025年，公司核心产品质量指标均达成年度目标，来料合格率、过程不良率、出货批次合格率与一次性通过率分别达98.6%、0.88%、99.2%与97.3%，不良品率控制在35 ppm，全年零产品召回。在风险预防方面，公司针对核心产品实施专项工艺优化：高速连接器产品线强化电镀工序浓度与温度监控；冲压端子产品线缩短模具维保周期并优化去毛刺工艺；结构件产品线升级焊接参数监控并增加设备季度校准，有效降低工序不良率。公司配备33台专业检测设备并严格执行计量校准，14名检验人员取得行业级认证，夯实管控基础。</w:t>
      </w:r>
      <w:commentRangeEnd w:id="109"/>
      <w:r>
        <w:rPr>
          <w:rStyle w:val="CommentReference"/>
        </w:rPr>
        <w:commentReference w:id="109"/>
      </w:r>
    </w:p>
    <w:p>
      <w:pPr>
        <w:ind w:firstLineChars="200" w:firstLine="480"/>
      </w:pPr>
      <w:commentRangeStart w:id="110"/>
      <w:r>
        <w:t>针对不合格品，公司严格执行闭环处置，全年平均处理周期控制在3.3天。在供应商协同方面，公司对核心供应商开展质量提升辅导，推动其升级设备与优化工艺以提升加工精度；对供应假冒元器件等严重违规行为采取零容忍态度，坚决停采并追究法律责任。2025年，公司总质量成本降至798万元，占销售额比例降至2.8%，较上年下降8.3%，自动化运维效率提升约8%，质量风险预防与精细化管理水平持续巩固。</w:t>
      </w:r>
      <w:commentRangeEnd w:id="110"/>
      <w:r>
        <w:rPr>
          <w:rStyle w:val="CommentReference"/>
        </w:rPr>
        <w:commentReference w:id="110"/>
      </w:r>
    </w:p>
    <w:p>
      <w:pPr>
        <w:pStyle w:val="4"/>
      </w:pPr>
      <w:r>
        <w:t>1. 产品召回与客户反馈处理</w:t>
      </w:r>
    </w:p>
    <w:p>
      <w:pPr>
        <w:ind w:firstLineChars="200" w:firstLine="480"/>
      </w:pPr>
      <w:commentRangeStart w:id="111"/>
      <w:r>
        <w:t>报告期内，公司未发生产品召回事件。2025年，公司共处理客户投诉6件，投诉处理完成率达100%。</w:t>
      </w:r>
      <w:commentRangeEnd w:id="111"/>
      <w:r>
        <w:rPr>
          <w:rStyle w:val="CommentReference"/>
        </w:rPr>
        <w:commentReference w:id="111"/>
      </w:r>
    </w:p>
    <w:p>
      <w:pPr>
        <w:ind w:firstLineChars="200" w:firstLine="480"/>
      </w:pPr>
      <w:commentRangeStart w:id="112"/>
      <w:r>
        <w:t>针对高速连接器接触电阻异常、结构件焊接裂纹及冲压端子外观毛刺等产品质量反馈，公司及时隔离涉事批次产品，开展根因分析并实施返工或全数检测。为防范同类问题复发，公司修订电镀与焊接工序工艺规范，收紧参数偏差范围，缩短模具维保周期，并提升关键工序检验频次与设备校准标准。</w:t>
      </w:r>
      <w:commentRangeEnd w:id="112"/>
      <w:r>
        <w:rPr>
          <w:rStyle w:val="CommentReference"/>
        </w:rPr>
        <w:commentReference w:id="112"/>
      </w:r>
    </w:p>
    <w:p>
      <w:pPr>
        <w:ind w:firstLineChars="200" w:firstLine="480"/>
      </w:pPr>
      <w:commentRangeStart w:id="113"/>
      <w:r>
        <w:t>针对包装标签印刷不清及混入杂质等反馈，增加出货前标签清晰度检验与包装防尘检查；针对个别订单交付延迟，建立原料库存预警机制以优化库存管理。所有投诉事项均落实纠正与预防措施，形成管理闭环。</w:t>
      </w:r>
      <w:commentRangeEnd w:id="113"/>
      <w:r>
        <w:rPr>
          <w:rStyle w:val="CommentReference"/>
        </w:rPr>
        <w:commentReference w:id="113"/>
      </w:r>
    </w:p>
    <w:p>
      <w:pPr>
        <w:pStyle w:val="3"/>
      </w:pPr>
      <w:r>
        <w:t>（四）指标与目标</w:t>
      </w:r>
    </w:p>
    <w:p>
      <w:pPr>
        <w:jc w:val="center"/>
      </w:pPr>
      <w:commentRangeStart w:id="114"/>
      <w:r>
        <w:drawing>
          <wp:inline xmlns:a="http://schemas.openxmlformats.org/drawingml/2006/main" xmlns:pic="http://schemas.openxmlformats.org/drawingml/2006/picture">
            <wp:extent cx="5760000" cy="1008000"/>
            <wp:docPr id="8" name="Picture 8"/>
            <wp:cNvGraphicFramePr>
              <a:graphicFrameLocks noChangeAspect="1"/>
            </wp:cNvGraphicFramePr>
            <a:graphic>
              <a:graphicData uri="http://schemas.openxmlformats.org/drawingml/2006/picture">
                <pic:pic>
                  <pic:nvPicPr>
                    <pic:cNvPr id="0" name="image.png"/>
                    <pic:cNvPicPr/>
                  </pic:nvPicPr>
                  <pic:blipFill>
                    <a:blip r:embed="rId74"/>
                    <a:stretch>
                      <a:fillRect/>
                    </a:stretch>
                  </pic:blipFill>
                  <pic:spPr>
                    <a:xfrm>
                      <a:off x="0" y="0"/>
                      <a:ext cx="5760000" cy="1008000"/>
                    </a:xfrm>
                    <a:prstGeom prst="rect"/>
                  </pic:spPr>
                </pic:pic>
              </a:graphicData>
            </a:graphic>
          </wp:inline>
        </w:drawing>
      </w:r>
      <w:commentRangeEnd w:id="114"/>
      <w:r>
        <w:rPr>
          <w:rStyle w:val="CommentReference"/>
        </w:rPr>
        <w:commentReference w:id="114"/>
      </w:r>
    </w:p>
    <w:p>
      <w:pPr>
        <w:pStyle w:val="2"/>
      </w:pPr>
      <w:bookmarkStart w:id="32" w:name="GS_TOC_032"/>
      <w:r>
        <w:t>三、客户服务质量管理</w:t>
      </w:r>
      <w:bookmarkEnd w:id="32"/>
    </w:p>
    <w:p>
      <w:pPr>
        <w:pStyle w:val="3"/>
      </w:pPr>
      <w:r>
        <w:t>（一）治理</w:t>
      </w:r>
    </w:p>
    <w:p>
      <w:pPr>
        <w:ind w:firstLineChars="200" w:firstLine="480"/>
      </w:pPr>
      <w:commentRangeStart w:id="115"/>
      <w:r>
        <w:t>公司建立客户服务与投诉处理机制，由客户服务部统一接收与协调，负责反馈登记、进度跟踪与回访。质量部负责技术分析并出具报告，生产、采购及包装等部门依责执行处理与改进。针对涉及安全隐患或影响较广的严重投诉，公司建立跨部门协同与高层汇报机制，由客户服务部协调质量部、生产部及总经理办公室联合处置，并直接上报总经理与董事会秘书。</w:t>
      </w:r>
      <w:commentRangeEnd w:id="115"/>
      <w:r>
        <w:rPr>
          <w:rStyle w:val="CommentReference"/>
        </w:rPr>
        <w:commentReference w:id="115"/>
      </w:r>
    </w:p>
    <w:p>
      <w:pPr>
        <w:ind w:firstLineChars="200" w:firstLine="480"/>
      </w:pPr>
      <w:commentRangeStart w:id="116"/>
      <w:r>
        <w:t>过程管理方面，公司实行投诉分级管理，按严重程度划分等级并匹配相应处理时限与责任层级。各项投诉均执行从接收、分析、方案制定、执行到验证回访的闭环管理，经客户确认后结案存档。此外，公司每月召开质量评审会，由客户服务、质量、生产及销售等部门代表共同检视投诉趋势与改进进展；年底编制年度分析报告并提交管理层与可持续发展委员会，持续优化服务质量管理体系。</w:t>
      </w:r>
      <w:commentRangeEnd w:id="116"/>
      <w:r>
        <w:rPr>
          <w:rStyle w:val="CommentReference"/>
        </w:rPr>
        <w:commentReference w:id="116"/>
      </w:r>
    </w:p>
    <w:p>
      <w:pPr>
        <w:pStyle w:val="3"/>
      </w:pPr>
      <w:r>
        <w:t>（二）战略</w:t>
      </w:r>
    </w:p>
    <w:p>
      <w:pPr>
        <w:ind w:firstLineChars="200" w:firstLine="480"/>
      </w:pPr>
      <w:commentRangeStart w:id="117"/>
      <w:r>
        <w:t>公司建立常态化客户沟通机制，通过定期满意度调查、业务走访及年度沟通会，深入了解主要客户群体在产品质量、交付履约与技术创新等方面的核心诉求，将客户反馈作为驱动内部管理优化的重要输入。</w:t>
      </w:r>
      <w:commentRangeEnd w:id="117"/>
      <w:r>
        <w:rPr>
          <w:rStyle w:val="CommentReference"/>
        </w:rPr>
        <w:commentReference w:id="117"/>
      </w:r>
    </w:p>
    <w:p>
      <w:pPr>
        <w:ind w:firstLineChars="200" w:firstLine="480"/>
      </w:pPr>
      <w:commentRangeStart w:id="118"/>
      <w:r>
        <w:t>在服务响应与体验提升方面，公司确立快速受理与高效协同原则，保障客户意见得到及时跟进。针对客户对交付周期与环保承诺的重视，公司将服务体验关注点延伸至研发与交付环节，持续优化模具开发流程，缩短新产品交期。同时，将客户反馈转化为工艺控制、供应链风险管理的系统性改进，夯实服务能力的底层基础。</w:t>
      </w:r>
      <w:commentRangeEnd w:id="118"/>
      <w:r>
        <w:rPr>
          <w:rStyle w:val="CommentReference"/>
        </w:rPr>
        <w:commentReference w:id="118"/>
      </w:r>
    </w:p>
    <w:p>
      <w:pPr>
        <w:ind w:firstLineChars="200" w:firstLine="480"/>
      </w:pPr>
      <w:commentRangeStart w:id="119"/>
      <w:r>
        <w:t>公司致力于将质量意识融入全员操作，以质量文化建设支撑服务体验的持续升级，并计划进一步拓展客户满意度调查覆盖面，深化与相关客户的协同支持，增强客户黏性，促进产业链的平稳运行与协同发展。</w:t>
      </w:r>
      <w:commentRangeEnd w:id="119"/>
      <w:r>
        <w:rPr>
          <w:rStyle w:val="CommentReference"/>
        </w:rPr>
        <w:commentReference w:id="119"/>
      </w:r>
    </w:p>
    <w:p>
      <w:pPr>
        <w:pStyle w:val="3"/>
      </w:pPr>
      <w:r>
        <w:t>（三）影响、风险与机遇管理</w:t>
      </w:r>
    </w:p>
    <w:p>
      <w:pPr>
        <w:ind w:firstLineChars="200" w:firstLine="480"/>
      </w:pPr>
      <w:commentRangeStart w:id="120"/>
      <w:r>
        <w:t>公司依托电话、邮件、在线表单及现场走访等多元服务渠道，落实明确的服务响应承诺。所有客户反馈均在24小时内完成初步确认与登记，针对复杂问题保持每3个工作日一次的进度汇报，并在处理闭环后1周内开展回访，确保客户诉求得到及时跟进与有效解决。</w:t>
      </w:r>
      <w:commentRangeEnd w:id="120"/>
      <w:r>
        <w:rPr>
          <w:rStyle w:val="CommentReference"/>
        </w:rPr>
        <w:commentReference w:id="120"/>
      </w:r>
    </w:p>
    <w:p>
      <w:pPr>
        <w:ind w:firstLineChars="200" w:firstLine="480"/>
      </w:pPr>
      <w:commentRangeStart w:id="121"/>
      <w:r>
        <w:t>2025年，公司全年共受理客户投诉6件，较上年减少25%。各项投诉均实现100%闭环处理，一次性解决率达100%，平均处理周期缩短至12.3个工作日，客户回访满意度达100%，年内未发生产品召回事件。此外，全年客户退货率控制在0.12%，产品交付与质量表现保持稳定。</w:t>
      </w:r>
      <w:commentRangeEnd w:id="121"/>
      <w:r>
        <w:rPr>
          <w:rStyle w:val="CommentReference"/>
        </w:rPr>
        <w:commentReference w:id="121"/>
      </w:r>
    </w:p>
    <w:p>
      <w:pPr>
        <w:ind w:firstLineChars="200" w:firstLine="480"/>
      </w:pPr>
      <w:commentRangeStart w:id="122"/>
      <w:r>
        <w:t>公司持续将客户反馈与投诉根因分析转化为实质性的运营改进。针对年内反馈涉及的工艺、交付及包装等问题，公司实施了一系列系统性提升措施：在工艺控制端，增加电镀与焊接工序的参数检测频次并升级检测仪器，缩短冲压模具维保周期；在供应链端，建立原料库存预警机制并重评重点供应商交付周期；在检验与现场管理端，升级焊接产品全数检验标准，增加包装前标签清晰度与卫生抽查项目，并深化现场5S管理。</w:t>
      </w:r>
      <w:commentRangeEnd w:id="122"/>
      <w:r>
        <w:rPr>
          <w:rStyle w:val="CommentReference"/>
        </w:rPr>
        <w:commentReference w:id="122"/>
      </w:r>
    </w:p>
    <w:p>
      <w:pPr>
        <w:ind w:firstLineChars="200" w:firstLine="480"/>
      </w:pPr>
      <w:commentRangeStart w:id="123"/>
      <w:r>
        <w:t>为支撑服务体验与质量管理的持续升级，公司年内组织开展25场质量专项培训，累计覆盖264人次。培训内容涵盖新员工质量意识、检验人员专业技能、工艺规范以及现场管理，不断强化全员的质量责任意识与客户服务能力。</w:t>
      </w:r>
      <w:commentRangeEnd w:id="123"/>
      <w:r>
        <w:rPr>
          <w:rStyle w:val="CommentReference"/>
        </w:rPr>
        <w:commentReference w:id="123"/>
      </w:r>
    </w:p>
    <w:p>
      <w:pPr>
        <w:pStyle w:val="3"/>
      </w:pPr>
      <w:r>
        <w:t>（四）指标与目标</w:t>
      </w:r>
    </w:p>
    <w:p>
      <w:pPr>
        <w:jc w:val="center"/>
      </w:pPr>
      <w:commentRangeStart w:id="124"/>
      <w:r>
        <w:drawing>
          <wp:inline xmlns:a="http://schemas.openxmlformats.org/drawingml/2006/main" xmlns:pic="http://schemas.openxmlformats.org/drawingml/2006/picture">
            <wp:extent cx="5760000" cy="1008000"/>
            <wp:docPr id="9" name="Picture 9"/>
            <wp:cNvGraphicFramePr>
              <a:graphicFrameLocks noChangeAspect="1"/>
            </wp:cNvGraphicFramePr>
            <a:graphic>
              <a:graphicData uri="http://schemas.openxmlformats.org/drawingml/2006/picture">
                <pic:pic>
                  <pic:nvPicPr>
                    <pic:cNvPr id="0" name="image.png"/>
                    <pic:cNvPicPr/>
                  </pic:nvPicPr>
                  <pic:blipFill>
                    <a:blip r:embed="rId75"/>
                    <a:stretch>
                      <a:fillRect/>
                    </a:stretch>
                  </pic:blipFill>
                  <pic:spPr>
                    <a:xfrm>
                      <a:off x="0" y="0"/>
                      <a:ext cx="5760000" cy="1008000"/>
                    </a:xfrm>
                    <a:prstGeom prst="rect"/>
                  </pic:spPr>
                </pic:pic>
              </a:graphicData>
            </a:graphic>
          </wp:inline>
        </w:drawing>
      </w:r>
      <w:commentRangeEnd w:id="124"/>
      <w:r>
        <w:rPr>
          <w:rStyle w:val="CommentReference"/>
        </w:rPr>
        <w:commentReference w:id="124"/>
      </w:r>
    </w:p>
    <w:p>
      <w:pPr>
        <w:pStyle w:val="1"/>
      </w:pPr>
      <w:bookmarkStart w:id="33" w:name="GS_TOC_033"/>
      <w:r>
        <w:t>第六章 构建价值生态与提升链条韧性</w:t>
      </w:r>
      <w:bookmarkEnd w:id="33"/>
    </w:p>
    <w:p>
      <w:pPr>
        <w:pStyle w:val="2"/>
      </w:pPr>
      <w:bookmarkStart w:id="34" w:name="GS_TOC_034"/>
      <w:r>
        <w:t>一、可持续供应链管理</w:t>
      </w:r>
      <w:bookmarkEnd w:id="34"/>
    </w:p>
    <w:p>
      <w:pPr>
        <w:pStyle w:val="3"/>
      </w:pPr>
      <w:r>
        <w:t>（一）治理</w:t>
      </w:r>
    </w:p>
    <w:p>
      <w:pPr>
        <w:ind w:firstLineChars="200" w:firstLine="480"/>
      </w:pPr>
      <w:commentRangeStart w:id="125"/>
      <w:r>
        <w:t>公司将供应链可持续性纳入公司治理体系，由董事会审议批准《供应商管理办法》，确立责任共担与风险管理等原则，要求供应商严格遵守环保、安全及劳工权益等相关法律法规。公司可持续发展委员会下设供应链工作组，由相关职能部门负责人牵头，定期汇报供应链可持续管理进展。</w:t>
      </w:r>
      <w:commentRangeEnd w:id="125"/>
      <w:r>
        <w:rPr>
          <w:rStyle w:val="CommentReference"/>
        </w:rPr>
        <w:commentReference w:id="125"/>
      </w:r>
    </w:p>
    <w:p>
      <w:pPr>
        <w:ind w:firstLineChars="200" w:firstLine="480"/>
      </w:pPr>
      <w:commentRangeStart w:id="126"/>
      <w:r>
        <w:t>在责任落实方面，公司建立跨部门协同治理机制。采购部统筹供应商准入、日常管理与年度评价；质量部参与样品评估与质量监控；环境健康安全部负责环保和安全合规审计；人力资源部协同开展劳工合规审查；法务部负责廉洁合规审核与违规处理。通过多部门联动，公司将可持续管理要求有效嵌入供应商全生命周期管理，保障供应链合规与稳健运行。</w:t>
      </w:r>
      <w:commentRangeEnd w:id="126"/>
      <w:r>
        <w:rPr>
          <w:rStyle w:val="CommentReference"/>
        </w:rPr>
        <w:commentReference w:id="126"/>
      </w:r>
    </w:p>
    <w:p>
      <w:pPr>
        <w:pStyle w:val="3"/>
      </w:pPr>
      <w:r>
        <w:t>（二）战略</w:t>
      </w:r>
    </w:p>
    <w:p>
      <w:pPr>
        <w:ind w:firstLineChars="200" w:firstLine="480"/>
      </w:pPr>
      <w:commentRangeStart w:id="127"/>
      <w:r>
        <w:t>晟原精密秉持质量第一、持续改进、公平竞争、责任共担与风险管理的原则，将环境、社会及治理要求融入供应商全生命周期管理。公司在供应商年度绩效评价中设立可持续发展专项权重，引导上下游伙伴共同履行环保、安全及劳工权益保障等责任，推动产业链绿色转型。</w:t>
      </w:r>
      <w:commentRangeEnd w:id="127"/>
      <w:r>
        <w:rPr>
          <w:rStyle w:val="CommentReference"/>
        </w:rPr>
        <w:commentReference w:id="127"/>
      </w:r>
    </w:p>
    <w:p>
      <w:pPr>
        <w:ind w:firstLineChars="200" w:firstLine="480"/>
      </w:pPr>
      <w:commentRangeStart w:id="128"/>
      <w:r>
        <w:t>在供应链韧性建设方面，公司坚持“单一物料、多源供应”原则，持续优化境内外供应商布局。通过分散采购风险与建立多源供应体系，保障关键原材料与核心零部件的供应连续性，提升应对市场波动的整体韧性。</w:t>
      </w:r>
      <w:commentRangeEnd w:id="128"/>
      <w:r>
        <w:rPr>
          <w:rStyle w:val="CommentReference"/>
        </w:rPr>
        <w:commentReference w:id="128"/>
      </w:r>
    </w:p>
    <w:p>
      <w:pPr>
        <w:ind w:firstLineChars="200" w:firstLine="480"/>
      </w:pPr>
      <w:commentRangeStart w:id="129"/>
      <w:r>
        <w:t>在合作关系方面，公司致力于与主要原材料及核心供应商建立中长期稳定的合作关系。面向未来，公司推动供应链管理从合规审核向“共建共赢”模式升级，通过技术支持、联合改进与正向激励，深化与优秀供应商的伙伴关系，携手产业链各方实现可持续发展。</w:t>
      </w:r>
      <w:commentRangeEnd w:id="129"/>
      <w:r>
        <w:rPr>
          <w:rStyle w:val="CommentReference"/>
        </w:rPr>
        <w:commentReference w:id="129"/>
      </w:r>
    </w:p>
    <w:p>
      <w:pPr>
        <w:pStyle w:val="3"/>
      </w:pPr>
      <w:r>
        <w:t>（三）影响、风险与机遇管理</w:t>
      </w:r>
    </w:p>
    <w:p>
      <w:pPr>
        <w:pStyle w:val="4"/>
      </w:pPr>
      <w:r>
        <w:t>1. 供应链风险管控与协同应对</w:t>
      </w:r>
    </w:p>
    <w:p>
      <w:pPr>
        <w:ind w:firstLineChars="200" w:firstLine="480"/>
      </w:pPr>
      <w:commentRangeStart w:id="130"/>
      <w:r>
        <w:t>公司建立涵盖识别、评估、缓解与监测的供应链尽职调查流程，将环境合规、劳动安全与商业道德纳入风险筛查范围。2025年，公司对所有新引入供应商完成尽职调查与合规评估。基于采购金额与行业特性，公司对供应商开展风险分级，并对45家供应商实施现场审计，重点排查污染控制、工作条件及合规记录，全年推动28项合规缺陷整改。针对存在改进空间的供应商，公司实施伴随式辅导，指派专员开展现场协作，促进风险降级与合规能力提升。</w:t>
      </w:r>
      <w:commentRangeEnd w:id="130"/>
      <w:r>
        <w:rPr>
          <w:rStyle w:val="CommentReference"/>
        </w:rPr>
        <w:commentReference w:id="130"/>
      </w:r>
    </w:p>
    <w:p>
      <w:pPr>
        <w:ind w:firstLineChars="200" w:firstLine="480"/>
      </w:pPr>
      <w:commentRangeStart w:id="131"/>
      <w:r>
        <w:t>为防范供应中断与合规风险，公司实行供应商分类管理，对186家活跃供应商按战略、重要与通用类别实施差异化监测。同时，公司严格执行黑名单与退出机制，对涉及严重环保违规、重大劳工违规及质量失信的供应商实行系统禁用并终止合作。报告期内，公司因环保违法、劳工违规、质量及交期等问题中止与6家供应商的合作，有效防范供应链潜在风险，保障关键物料供应的连续性与安全性。</w:t>
      </w:r>
      <w:commentRangeEnd w:id="131"/>
      <w:r>
        <w:rPr>
          <w:rStyle w:val="CommentReference"/>
        </w:rPr>
        <w:commentReference w:id="131"/>
      </w:r>
    </w:p>
    <w:p>
      <w:pPr>
        <w:pStyle w:val="4"/>
      </w:pPr>
      <w:r>
        <w:t>2. 供应商追溯与承诺管理</w:t>
      </w:r>
    </w:p>
    <w:p>
      <w:pPr>
        <w:ind w:firstLineChars="200" w:firstLine="480"/>
      </w:pPr>
      <w:commentRangeStart w:id="132"/>
      <w:r>
        <w:t>公司将环境、社会及治理要求嵌入采购框架协议，要求供应商就环保合规、劳工权益保障与商业道德等核心事项作出明确承诺。在供应商追溯与尽职调查方面，公司建立风险分级机制，对新引入供应商全面实施合规评估，并对现有供应商开展定期重评估与动态监测。</w:t>
      </w:r>
      <w:commentRangeEnd w:id="132"/>
      <w:r>
        <w:rPr>
          <w:rStyle w:val="CommentReference"/>
        </w:rPr>
        <w:commentReference w:id="132"/>
      </w:r>
    </w:p>
    <w:p>
      <w:pPr>
        <w:ind w:firstLineChars="200" w:firstLine="480"/>
      </w:pPr>
      <w:commentRangeStart w:id="133"/>
      <w:r>
        <w:t>结合现场审计与文件审核，公司对供应链关键环节开展追溯核查，重点排查环境敏感及高风险领域。针对核查中发现的合规缺陷，公司要求供应商限期整改，并指派专员开展伴随式改进与现场协作，推动合规风险降级。对于存在严重违规或拒绝配合审查的供应商，公司严格执行黑名单管理并终止合作，确保供应链可持续承诺得到有效落实与闭环管理。</w:t>
      </w:r>
      <w:commentRangeEnd w:id="133"/>
      <w:r>
        <w:rPr>
          <w:rStyle w:val="CommentReference"/>
        </w:rPr>
        <w:commentReference w:id="133"/>
      </w:r>
    </w:p>
    <w:p>
      <w:pPr>
        <w:pStyle w:val="3"/>
      </w:pPr>
      <w:r>
        <w:t>（四）指标与目标</w:t>
      </w:r>
    </w:p>
    <w:p>
      <w:pPr>
        <w:jc w:val="center"/>
      </w:pPr>
      <w:commentRangeStart w:id="134"/>
      <w:r>
        <w:drawing>
          <wp:inline xmlns:a="http://schemas.openxmlformats.org/drawingml/2006/main" xmlns:pic="http://schemas.openxmlformats.org/drawingml/2006/picture">
            <wp:extent cx="5760000" cy="1752686"/>
            <wp:docPr id="10" name="Picture 10"/>
            <wp:cNvGraphicFramePr>
              <a:graphicFrameLocks noChangeAspect="1"/>
            </wp:cNvGraphicFramePr>
            <a:graphic>
              <a:graphicData uri="http://schemas.openxmlformats.org/drawingml/2006/picture">
                <pic:pic>
                  <pic:nvPicPr>
                    <pic:cNvPr id="0" name="image.png"/>
                    <pic:cNvPicPr/>
                  </pic:nvPicPr>
                  <pic:blipFill>
                    <a:blip r:embed="rId76"/>
                    <a:stretch>
                      <a:fillRect/>
                    </a:stretch>
                  </pic:blipFill>
                  <pic:spPr>
                    <a:xfrm>
                      <a:off x="0" y="0"/>
                      <a:ext cx="5760000" cy="1752686"/>
                    </a:xfrm>
                    <a:prstGeom prst="rect"/>
                  </pic:spPr>
                </pic:pic>
              </a:graphicData>
            </a:graphic>
          </wp:inline>
        </w:drawing>
      </w:r>
      <w:commentRangeEnd w:id="134"/>
      <w:r>
        <w:rPr>
          <w:rStyle w:val="CommentReference"/>
        </w:rPr>
        <w:commentReference w:id="134"/>
      </w:r>
    </w:p>
    <w:p>
      <w:pPr>
        <w:pStyle w:val="2"/>
      </w:pPr>
      <w:bookmarkStart w:id="35" w:name="GS_TOC_035"/>
      <w:r>
        <w:t>二、平等对待中小企业</w:t>
      </w:r>
      <w:bookmarkEnd w:id="35"/>
    </w:p>
    <w:p>
      <w:pPr>
        <w:pStyle w:val="3"/>
      </w:pPr>
      <w:r>
        <w:t>（一）治理</w:t>
      </w:r>
    </w:p>
    <w:p>
      <w:pPr>
        <w:ind w:firstLineChars="200" w:firstLine="480"/>
      </w:pPr>
      <w:commentRangeStart w:id="135"/>
      <w:r>
        <w:t>公司在供应商管理中遵循公平交易原则，依据《供应链尽职调查管理办法》为中小型供应商建立能力建设支持机制。公司为中小供应商免费提供合规咨询与体系建立指导，编制《供应商合规指南》与《常见问题解答》等文件，帮助供应商理解尽职调查要求。公司组织行业论坛与研讨会，邀请供应商交流经验，并邀请供应商参加年度合规培训，分享最佳实践。对改进表现突出的供应商，公司给予采购订单优先权或成本减免等激励，以促进供应链整体合规水平提升与产业链协同发展。</w:t>
      </w:r>
      <w:commentRangeEnd w:id="135"/>
      <w:r>
        <w:rPr>
          <w:rStyle w:val="CommentReference"/>
        </w:rPr>
        <w:commentReference w:id="135"/>
      </w:r>
    </w:p>
    <w:p>
      <w:pPr>
        <w:pStyle w:val="3"/>
      </w:pPr>
      <w:r>
        <w:t>（二）战略</w:t>
      </w:r>
    </w:p>
    <w:p>
      <w:pPr>
        <w:ind w:firstLineChars="200" w:firstLine="480"/>
      </w:pPr>
      <w:commentRangeStart w:id="136"/>
      <w:r>
        <w:t>公司将公平交易与平等合作作为供应链管理的长期战略方向，致力于在业务合作中保障中小微合作伙伴的合法权益。公司坚持互利共赢原则，将中小企业权益保障纳入整体业务规划，通过持续优化合作机制与商业条款，缓解合作伙伴资金周转压力，维护健康、可持续的商业生态。</w:t>
      </w:r>
      <w:commentRangeEnd w:id="136"/>
      <w:r>
        <w:rPr>
          <w:rStyle w:val="CommentReference"/>
        </w:rPr>
        <w:commentReference w:id="136"/>
      </w:r>
    </w:p>
    <w:p>
      <w:pPr>
        <w:ind w:firstLineChars="200" w:firstLine="480"/>
      </w:pPr>
      <w:commentRangeStart w:id="137"/>
      <w:r>
        <w:t>面向未来，公司将持续关注产业链协同发展需求，把公平合作理念贯穿于供应商管理全过程。通过不断提升合作透明度与规范性，防范合规及声誉风险，增强供应链韧性与市场拓展能力，与中小微合作伙伴共同构建稳定、互信的产业生态，实现长期价值共创。</w:t>
      </w:r>
      <w:commentRangeEnd w:id="137"/>
      <w:r>
        <w:rPr>
          <w:rStyle w:val="CommentReference"/>
        </w:rPr>
        <w:commentReference w:id="137"/>
      </w:r>
    </w:p>
    <w:p>
      <w:pPr>
        <w:pStyle w:val="3"/>
      </w:pPr>
      <w:r>
        <w:t>（三）影响、风险与机遇管理</w:t>
      </w:r>
    </w:p>
    <w:p>
      <w:pPr>
        <w:ind w:firstLineChars="200" w:firstLine="480"/>
      </w:pPr>
      <w:commentRangeStart w:id="138"/>
      <w:r>
        <w:t>在与中小供应商的业务往来中，公司严格执行合同约定的付款条件与结算周期，规范账款履约流程，确保采购款项按时、足额支付。公司注重日常结算环节的规范性与准确性，通过优化内部审批流转与对账机制，保障资金划拨效率，切实履行对中小微合作伙伴的付款承诺。在业务合作全过程中，公司始终将及时结算作为践行公平交易原则的重要体现，以稳健的账款管理维护互信、稳定的供应链合作关系。</w:t>
      </w:r>
      <w:commentRangeEnd w:id="138"/>
      <w:r>
        <w:rPr>
          <w:rStyle w:val="CommentReference"/>
        </w:rPr>
        <w:commentReference w:id="138"/>
      </w:r>
    </w:p>
    <w:p>
      <w:pPr>
        <w:pStyle w:val="3"/>
      </w:pPr>
      <w:r>
        <w:t>（四）指标与目标</w:t>
      </w:r>
    </w:p>
    <w:p>
      <w:pPr>
        <w:ind w:firstLineChars="200" w:firstLine="480"/>
      </w:pPr>
      <w:commentRangeStart w:id="139"/>
      <w:r>
        <w:t>公司高度重视平等对待中小企业管理，正着手建立以中小供应商采购占比、账款平均结算周期、中小供应商培训覆盖率等为核心的指标管理体系。公司正在推进相关数据的统计、收集、校验与跟踪，并将有关结果纳入后续报告期披露，以落实议题管理、提升相关能力。</w:t>
      </w:r>
      <w:commentRangeEnd w:id="139"/>
      <w:r>
        <w:rPr>
          <w:rStyle w:val="CommentReference"/>
        </w:rPr>
        <w:commentReference w:id="139"/>
      </w:r>
    </w:p>
    <w:p>
      <w:pPr>
        <w:pStyle w:val="2"/>
      </w:pPr>
      <w:bookmarkStart w:id="36" w:name="GS_TOC_036"/>
      <w:r>
        <w:t>三、科技伦理</w:t>
      </w:r>
      <w:bookmarkEnd w:id="36"/>
    </w:p>
    <w:p>
      <w:pPr>
        <w:pStyle w:val="3"/>
      </w:pPr>
      <w:r>
        <w:t>（一）治理</w:t>
      </w:r>
    </w:p>
    <w:p>
      <w:pPr>
        <w:ind w:firstLineChars="200" w:firstLine="480"/>
      </w:pPr>
      <w:commentRangeStart w:id="140"/>
      <w:r>
        <w:t>公司结合精密电子元器件与连接器的研发及制造特点，持续关注人工智能等科技活动相关的基础伦理治理要求。在日常经营管理中，公司逐步将伦理考量融入产品研发与应用的常规流程，审慎识别和防范技术潜在风险。围绕议题适用性与经营实际，公司持续推进必要的内部协调与基础管理安排，力求确保技术创新活动符合社会道德与公共利益，以促进科技向善并保障业务的合规与稳健发展。</w:t>
      </w:r>
      <w:commentRangeEnd w:id="140"/>
      <w:r>
        <w:rPr>
          <w:rStyle w:val="CommentReference"/>
        </w:rPr>
        <w:commentReference w:id="140"/>
      </w:r>
    </w:p>
    <w:p>
      <w:pPr>
        <w:pStyle w:val="3"/>
      </w:pPr>
      <w:r>
        <w:t>（二）战略</w:t>
      </w:r>
    </w:p>
    <w:p>
      <w:pPr>
        <w:ind w:firstLineChars="200" w:firstLine="480"/>
      </w:pPr>
      <w:commentRangeStart w:id="141"/>
      <w:r>
        <w:t>在科技伦理战略层面，公司秉持科技向善与合规稳健的基本原则，将伦理考量作为技术创新与业务发展的重要导向。结合精密电子元器件与连接器在消费电子及新能源汽车等领域的应用特性，公司重点关注技术融合过程中的数据安全、隐私保护及技术应用的合理边界，审慎防范技术滥用可能引发的社会与合规风险。面向长期稳健经营，公司致力于将伦理原则内化为产品研发与市场拓展的战略基石，通过提升核心产品的伦理合规水平，增强客户信任并拓展高端市场。后续，公司将持续跟踪行业科技伦理规范与发展趋势，逐步完善战略层面的伦理指引，推动技术创新、商业价值与公共利益的良性互动。</w:t>
      </w:r>
      <w:commentRangeEnd w:id="141"/>
      <w:r>
        <w:rPr>
          <w:rStyle w:val="CommentReference"/>
        </w:rPr>
        <w:commentReference w:id="141"/>
      </w:r>
    </w:p>
    <w:p>
      <w:pPr>
        <w:pStyle w:val="3"/>
      </w:pPr>
      <w:r>
        <w:t>（三）影响、风险与机遇管理</w:t>
      </w:r>
    </w:p>
    <w:p>
      <w:pPr>
        <w:pStyle w:val="4"/>
      </w:pPr>
      <w:r>
        <w:t>1. 科技伦理培训与意识提升</w:t>
      </w:r>
    </w:p>
    <w:p>
      <w:pPr>
        <w:ind w:firstLineChars="200" w:firstLine="480"/>
      </w:pPr>
      <w:commentRangeStart w:id="142"/>
      <w:r>
        <w:t>公司重视科技伦理意识的培育，结合精密电子元器件与连接器的研发制造特点，逐步推进科技伦理相关的内部培训与宣贯工作。围绕数据安全、隐私保护及技术应用的合理边界等核心关注点，公司通过日常宣导与学习，不断提升员工对科技伦理规范的认知水平。同时，公司持续关注行业伦理发展趋势，适时开展科普宣传与意识提升活动，引导员工在技术创新与业务拓展中践行科技向善理念，为合规稳健经营营造良好的内部文化氛围。</w:t>
      </w:r>
      <w:commentRangeEnd w:id="142"/>
      <w:r>
        <w:rPr>
          <w:rStyle w:val="CommentReference"/>
        </w:rPr>
        <w:commentReference w:id="142"/>
      </w:r>
    </w:p>
    <w:p>
      <w:pPr>
        <w:pStyle w:val="3"/>
      </w:pPr>
      <w:r>
        <w:t>（四）指标与目标</w:t>
      </w:r>
    </w:p>
    <w:p>
      <w:pPr>
        <w:ind w:firstLineChars="200" w:firstLine="480"/>
      </w:pPr>
      <w:commentRangeStart w:id="143"/>
      <w:r>
        <w:t>公司高度重视科技伦理管理，正着手建立以科技伦理培训覆盖率、产品研发伦理审查覆盖率等为核心的指标管理体系。公司正在推进相关数据的统计、收集、校验与跟踪，并将有关结果纳入后续报告期披露，以落实议题管理、提升相关能力。</w:t>
      </w:r>
      <w:commentRangeEnd w:id="143"/>
      <w:r>
        <w:rPr>
          <w:rStyle w:val="CommentReference"/>
        </w:rPr>
        <w:commentReference w:id="143"/>
      </w:r>
    </w:p>
    <w:p>
      <w:pPr>
        <w:pStyle w:val="2"/>
      </w:pPr>
      <w:bookmarkStart w:id="37" w:name="GS_TOC_037"/>
      <w:r>
        <w:t>四、数据安全与客户隐私保护</w:t>
      </w:r>
      <w:bookmarkEnd w:id="37"/>
    </w:p>
    <w:p>
      <w:pPr>
        <w:pStyle w:val="3"/>
      </w:pPr>
      <w:r>
        <w:t>（一）治理</w:t>
      </w:r>
    </w:p>
    <w:p>
      <w:pPr>
        <w:ind w:firstLineChars="200" w:firstLine="480"/>
      </w:pPr>
      <w:commentRangeStart w:id="144"/>
      <w:r>
        <w:t>公司结合精密电子元器件与连接器研发、制造及业务运营的实际需要，持续关注数据安全与客户隐私保护相关的职责衔接与基础管理安排。在治理层面，公司逐步明确各业务环节的数据管理责任，围绕客户技术图纸、产品规格及商业信息的处理，审慎推进内部协调与权限管控机制建设。公司持续推进数据安全管理体系的完善，在日常经营中关注数据访问权限的合理分配与信息传输的加密防护，并逐步健全信息记录与监督协调机制，以防范敏感数据泄露风险，维护客户商业利益，为巩固与境内外整机厂及一级供应商的长期合作提供基础管理支撑。</w:t>
      </w:r>
      <w:commentRangeEnd w:id="144"/>
      <w:r>
        <w:rPr>
          <w:rStyle w:val="CommentReference"/>
        </w:rPr>
        <w:commentReference w:id="144"/>
      </w:r>
    </w:p>
    <w:p>
      <w:pPr>
        <w:pStyle w:val="3"/>
      </w:pPr>
      <w:r>
        <w:t>（二）战略</w:t>
      </w:r>
    </w:p>
    <w:p>
      <w:pPr>
        <w:ind w:firstLineChars="200" w:firstLine="480"/>
      </w:pPr>
      <w:commentRangeStart w:id="145"/>
      <w:r>
        <w:t>面向长期稳健经营与可持续发展，公司始终将数据安全与客户隐私保护视为维护商业信誉与深化客户合作的重要基础。在战略导向上，公司坚持合规审慎与风险防范并重的原则，将数据安全管理意识融入企业整体运营规划，致力于在保障客户技术图纸、产品规格及商业信息等核心资产安全的前提下，推动业务的高质量发展。公司持续关注行业数据安全标准的演进与客户隐私保护要求的提升，以增强客户信任、巩固与境内外整机厂及一级供应商的长期合作关系为目标，稳步推进数据安全管理体系的长期建设与持续优化，为拓展市场份额与实现稳健经营提供坚实的战略支撑。</w:t>
      </w:r>
      <w:commentRangeEnd w:id="145"/>
      <w:r>
        <w:rPr>
          <w:rStyle w:val="CommentReference"/>
        </w:rPr>
        <w:commentReference w:id="145"/>
      </w:r>
    </w:p>
    <w:p>
      <w:pPr>
        <w:pStyle w:val="3"/>
      </w:pPr>
      <w:r>
        <w:t>（三）影响、风险与机遇管理</w:t>
      </w:r>
    </w:p>
    <w:p>
      <w:pPr>
        <w:ind w:firstLineChars="200" w:firstLine="480"/>
      </w:pPr>
      <w:commentRangeStart w:id="146"/>
      <w:r>
        <w:t>在影响、风险与机遇管理方面，公司结合精密电子元器件与连接器业务的实际运营场景，系统识别客户信息处理环节中的潜在风险，并持续推进隐私防范实践。在业务合作中，公司通过签署保密协议等契约形式，明确客户技术图纸、产品规格及商业信息的保密义务，从源头强化信息保密约束。针对数据访问与流转风险，公司逐步深化访问控制策略，严格遵循最小必要原则，并对涉及敏感信息处理的人员加强保密教育与管理。同时，公司关注数据安全事件的防范与应对，定期开展数据安全风险评估与隐患排查，持续推进员工信息安全意识培训，提升全员对数据泄露风险的识别能力。通过不断完善风险防范的闭环管理机制，公司以审慎、稳健的管理举措降低隐私泄露风险，切实保障客户商业利益，巩固长期合作信任。</w:t>
      </w:r>
      <w:commentRangeEnd w:id="146"/>
      <w:r>
        <w:rPr>
          <w:rStyle w:val="CommentReference"/>
        </w:rPr>
        <w:commentReference w:id="146"/>
      </w:r>
    </w:p>
    <w:p>
      <w:pPr>
        <w:pStyle w:val="3"/>
      </w:pPr>
      <w:r>
        <w:t>（四）指标与目标</w:t>
      </w:r>
    </w:p>
    <w:p>
      <w:pPr>
        <w:ind w:firstLineChars="200" w:firstLine="480"/>
      </w:pPr>
      <w:commentRangeStart w:id="147"/>
      <w:r>
        <w:t>公司高度重视数据安全与客户隐私保护管理，正着手建立以因泄漏客户信息受到投诉的次数、信息安全事故次数、专业IT技术人员信息安全培训覆盖率等为核心的指标管理体系。公司正在推进相关数据的统计、收集、校验与跟踪，并将有关结果纳入后续报告期披露，以落实议题管理、提升相关能力。</w:t>
      </w:r>
      <w:commentRangeEnd w:id="147"/>
      <w:r>
        <w:rPr>
          <w:rStyle w:val="CommentReference"/>
        </w:rPr>
        <w:commentReference w:id="147"/>
      </w:r>
    </w:p>
    <w:p>
      <w:pPr>
        <w:pStyle w:val="1"/>
      </w:pPr>
      <w:bookmarkStart w:id="38" w:name="GS_TOC_038"/>
      <w:r>
        <w:t>第七章 深化合规管理与完善风险治理</w:t>
      </w:r>
      <w:bookmarkEnd w:id="38"/>
    </w:p>
    <w:p>
      <w:pPr>
        <w:pStyle w:val="2"/>
      </w:pPr>
      <w:bookmarkStart w:id="39" w:name="GS_TOC_039"/>
      <w:r>
        <w:t>一、反商业贿赂与反贪污</w:t>
      </w:r>
      <w:bookmarkEnd w:id="39"/>
    </w:p>
    <w:p>
      <w:pPr>
        <w:pStyle w:val="3"/>
      </w:pPr>
      <w:r>
        <w:t>（一）治理</w:t>
      </w:r>
    </w:p>
    <w:p>
      <w:pPr>
        <w:ind w:firstLineChars="200" w:firstLine="480"/>
      </w:pPr>
      <w:commentRangeStart w:id="148"/>
      <w:r>
        <w:t>公司将反商业贿赂与反贪污纳入治理体系，相关制度经董事会审议批准。可持续发展委员会下设合规与商业道德工作组，由相关职能部门负责人牵头并定期汇报，统筹廉洁合规管理。公司制定《反商业贿赂与廉洁从业规定》等内部制度，确立零容忍原则，严禁各类利益输送行为，并建立利益冲突申报与回避机制。在监督执行方面，公司开通多渠道举报机制，严格保护举报人信息并严禁报复，规范举报受理与调查流程。公司明确员工与合作方的违规处分标准，对贪污腐败等重大违规行为采取解除劳动合同、移交司法机关或终止合作等措施。此外，公司将廉洁合规要求纳入供应商采购协议，要求供应商作出廉洁承诺，共同维护公平竞争的商业环境。</w:t>
      </w:r>
      <w:commentRangeEnd w:id="148"/>
      <w:r>
        <w:rPr>
          <w:rStyle w:val="CommentReference"/>
        </w:rPr>
        <w:commentReference w:id="148"/>
      </w:r>
    </w:p>
    <w:p>
      <w:pPr>
        <w:pStyle w:val="3"/>
      </w:pPr>
      <w:r>
        <w:t>（二）战略</w:t>
      </w:r>
    </w:p>
    <w:p>
      <w:pPr>
        <w:ind w:firstLineChars="200" w:firstLine="480"/>
      </w:pPr>
      <w:commentRangeStart w:id="149"/>
      <w:r>
        <w:t>公司秉持零容忍与全员参与原则，将廉洁合规要求深度融入日常运营与商业决策全过程，确保各项商业行为透明且可追溯。在长期推进中，公司注重培育诚信合规的企业文化，通过常态化、多层级的廉洁教育培训，持续提升全体员工的合规意识与职业操守。同时，公司聚焦采购、生产及销售等核心业务环节，持续深化廉洁风险识别与防控，致力于构建公平、透明的商业生态。公司将以稳健的合规管理为导向，不断增强境内外客户与合作伙伴的信任，为可持续发展提供坚实保障。</w:t>
      </w:r>
      <w:commentRangeEnd w:id="149"/>
      <w:r>
        <w:rPr>
          <w:rStyle w:val="CommentReference"/>
        </w:rPr>
        <w:commentReference w:id="149"/>
      </w:r>
    </w:p>
    <w:p>
      <w:pPr>
        <w:pStyle w:val="CaptionTable"/>
      </w:pPr>
      <w:commentRangeStart w:id="150"/>
      <w:r>
        <w:t>表9　反商业贿赂与反贪污风险内容、影响及应对措施</w:t>
      </w:r>
      <w:commentRangeEnd w:id="150"/>
      <w:r>
        <w:rPr>
          <w:rStyle w:val="CommentReference"/>
        </w:rPr>
        <w:commentReference w:id="150"/>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816"/>
        <w:gridCol w:w="1269"/>
        <w:gridCol w:w="2448"/>
        <w:gridCol w:w="1179"/>
        <w:gridCol w:w="907"/>
        <w:gridCol w:w="2448"/>
      </w:tblGrid>
      <w:tr>
        <w:trPr>
          <w:tblHeader w:val="true"/>
        </w:trPr>
        <w:tc>
          <w:tcPr>
            <w:tcW w:type="dxa" w:w="816"/>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风险与机遇类型</w:t>
            </w:r>
          </w:p>
        </w:tc>
        <w:tc>
          <w:tcPr>
            <w:tcW w:type="dxa" w:w="1270"/>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风险与机遇名称</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潜在影响</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财务影响</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影响的时间范围</w:t>
            </w:r>
          </w:p>
        </w:tc>
        <w:tc>
          <w:tcPr>
            <w:tcW w:type="dxa" w:w="2449"/>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应对措施</w:t>
            </w:r>
          </w:p>
        </w:tc>
      </w:tr>
      <w:tr>
        <w:trPr>
          <w:cantSplit/>
        </w:trPr>
        <w:tc>
          <w:tcPr>
            <w:tcW w:type="dxa" w:w="816"/>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风险</w:t>
            </w: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合规与监管风险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随着境内外反腐败法规持续完善与监管要求趋严，公司在采购、销售等经营环节面临的合规义务逐步加重。若未能及时跟进法规变化并完善内部合规管理，可能影响业务正常开展并增加合规管理成本。</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合规成本增加、罚款或赔偿支出</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中期、长期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持续关注反腐败相关法律法规动态，及时更新内部合规要求。针对采购、销售等关键业务环节开展合规宣贯，强化关键岗位人员的合规意识与责任约束。</w:t>
            </w:r>
          </w:p>
        </w:tc>
      </w:tr>
      <w:tr>
        <w:trPr>
          <w:cantSplit/>
        </w:trPr>
        <w:tc>
          <w:tcPr>
            <w:tcW w:type="dxa" w:w="816"/>
            <w:vMerge/>
          </w:tcPr>
          <w:p/>
        </w:tc>
        <w:tc>
          <w:tcPr>
            <w:tcW w:type="dxa" w:w="1270"/>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人员廉洁意识风险</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在精密电子元器件制造与销售业务中，若员工廉洁从业意识不足或利益冲突管理不到位，可能在采购、供应商管理等环节产生不当行为，影响公司商业信誉与正常经营秩序。</w:t>
            </w:r>
          </w:p>
        </w:tc>
        <w:tc>
          <w:tcPr>
            <w:tcW w:type="dxa" w:w="1179"/>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罚款或赔偿支出、合同损失、营业收入下降</w:t>
            </w:r>
          </w:p>
        </w:tc>
        <w:tc>
          <w:tcPr>
            <w:tcW w:type="dxa" w:w="907"/>
            <w:vAlign w:val="center"/>
            <w:tcMar>
              <w:top w:w="80" w:type="dxa"/>
              <w:start w:w="90" w:type="dxa"/>
              <w:bottom w:w="80" w:type="dxa"/>
              <w:end w:w="90" w:type="dxa"/>
            </w:tcMar>
          </w:tcPr>
          <w:p>
            <w:pPr>
              <w:spacing w:before="0" w:after="0" w:line="276" w:lineRule="auto"/>
              <w:jc w:val="center"/>
            </w:pPr>
            <w:r/>
            <w:r>
              <w:rPr>
                <w:rFonts w:ascii="SimSun" w:hAnsi="SimSun" w:eastAsia="宋体"/>
                <w:b w:val="0"/>
                <w:sz w:val="17"/>
              </w:rPr>
              <w:t>短期、中期</w:t>
            </w:r>
          </w:p>
        </w:tc>
        <w:tc>
          <w:tcPr>
            <w:tcW w:type="dxa" w:w="2449"/>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定期开展廉洁从业培训与商业道德宣导，提升全员廉洁意识。对采购、销售等关键岗位明确廉洁要求与行为规范，加强日常监督与风险提示。</w:t>
            </w:r>
          </w:p>
        </w:tc>
      </w:tr>
    </w:tbl>
    <w:p>
      <w:pPr>
        <w:pStyle w:val="3"/>
      </w:pPr>
      <w:r>
        <w:t>（三）影响、风险与机遇管理</w:t>
      </w:r>
    </w:p>
    <w:p>
      <w:pPr>
        <w:pStyle w:val="4"/>
      </w:pPr>
      <w:r>
        <w:t>1. 廉洁合规管理规范与措施要求</w:t>
      </w:r>
    </w:p>
    <w:p>
      <w:pPr>
        <w:ind w:firstLineChars="200" w:firstLine="480"/>
      </w:pPr>
      <w:commentRangeStart w:id="151"/>
      <w:r>
        <w:t>公司于2025年修订反商业贿赂相关制度及员工手册，将廉洁要求覆盖全体员工、管理层及合作伙伴。公司划定行为红线，严禁现金、超额礼品、旅游宴请、回扣与虚假合同等利益输送，确保商业决策与支付透明可追溯。针对利益冲突，明确亲属关系与经济利益等界定标准，要求限期书面申报并严格执行回避。</w:t>
      </w:r>
      <w:commentRangeEnd w:id="151"/>
      <w:r>
        <w:rPr>
          <w:rStyle w:val="CommentReference"/>
        </w:rPr>
        <w:commentReference w:id="151"/>
      </w:r>
    </w:p>
    <w:p>
      <w:pPr>
        <w:ind w:firstLineChars="200" w:firstLine="480"/>
      </w:pPr>
      <w:commentRangeStart w:id="152"/>
      <w:r>
        <w:t>公司细化举报调查机制，明确受理、初审与重大案件处理时限，设立有效举报奖励。建立员工与合作方分级管控标准，视情节采取绩效扣减、禁升职、暂停合作至列入黑名单等措施，并严格履行事实告知与申辩程序。此外，将廉洁合规纳入新员工入职必修环节，围绕法律基础、采购廉洁与商业道德开展年度全员培训。公司亦要求供应商建立内部反腐政策与举报渠道，共同践行公平竞争原则。</w:t>
      </w:r>
      <w:commentRangeEnd w:id="152"/>
      <w:r>
        <w:rPr>
          <w:rStyle w:val="CommentReference"/>
        </w:rPr>
        <w:commentReference w:id="152"/>
      </w:r>
    </w:p>
    <w:p>
      <w:pPr>
        <w:pStyle w:val="4"/>
      </w:pPr>
      <w:r>
        <w:t>2. 畅通举报渠道与落实举报人保护</w:t>
      </w:r>
    </w:p>
    <w:p>
      <w:pPr>
        <w:ind w:firstLineChars="200" w:firstLine="480"/>
      </w:pPr>
      <w:commentRangeStart w:id="153"/>
      <w:r>
        <w:t>公司设立多元化的廉洁举报渠道，包括举报电话（0512-00000000，工作时间为周一至周五9:00至18:00）、举报邮箱（compliance@example-shengyuan.com）、书面信函及匿名举报方式，并支持通过外部法律顾问或行业协会等第三方渠道转达。在受理与调查环节，法务合规专员于收到举报后3个工作日内确认接收并告知处理时限，10个工作日内完成初步审查，重大举报在30个工作日内出具处理意见，相关情况按季度向可持续发展委员会汇报。公司实施严格的举报人保护机制，将举报人身份知悉范围限制在法务、合规与审计人员内，严禁任何形式的报复行为，并对查实的有效举报给予500元至5000元奖励。</w:t>
      </w:r>
      <w:commentRangeEnd w:id="153"/>
      <w:r>
        <w:rPr>
          <w:rStyle w:val="CommentReference"/>
        </w:rPr>
        <w:commentReference w:id="153"/>
      </w:r>
    </w:p>
    <w:p>
      <w:pPr>
        <w:pStyle w:val="3"/>
      </w:pPr>
      <w:r>
        <w:t>（四）指标与目标</w:t>
      </w:r>
    </w:p>
    <w:p>
      <w:pPr>
        <w:jc w:val="center"/>
      </w:pPr>
      <w:commentRangeStart w:id="154"/>
      <w:r>
        <w:drawing>
          <wp:inline xmlns:a="http://schemas.openxmlformats.org/drawingml/2006/main" xmlns:pic="http://schemas.openxmlformats.org/drawingml/2006/picture">
            <wp:extent cx="5760000" cy="1008000"/>
            <wp:docPr id="11" name="Picture 11"/>
            <wp:cNvGraphicFramePr>
              <a:graphicFrameLocks noChangeAspect="1"/>
            </wp:cNvGraphicFramePr>
            <a:graphic>
              <a:graphicData uri="http://schemas.openxmlformats.org/drawingml/2006/picture">
                <pic:pic>
                  <pic:nvPicPr>
                    <pic:cNvPr id="0" name="image.png"/>
                    <pic:cNvPicPr/>
                  </pic:nvPicPr>
                  <pic:blipFill>
                    <a:blip r:embed="rId77"/>
                    <a:stretch>
                      <a:fillRect/>
                    </a:stretch>
                  </pic:blipFill>
                  <pic:spPr>
                    <a:xfrm>
                      <a:off x="0" y="0"/>
                      <a:ext cx="5760000" cy="1008000"/>
                    </a:xfrm>
                    <a:prstGeom prst="rect"/>
                  </pic:spPr>
                </pic:pic>
              </a:graphicData>
            </a:graphic>
          </wp:inline>
        </w:drawing>
      </w:r>
      <w:commentRangeEnd w:id="154"/>
      <w:r>
        <w:rPr>
          <w:rStyle w:val="CommentReference"/>
        </w:rPr>
        <w:commentReference w:id="154"/>
      </w:r>
    </w:p>
    <w:p>
      <w:pPr>
        <w:pStyle w:val="2"/>
      </w:pPr>
      <w:bookmarkStart w:id="40" w:name="GS_TOC_040"/>
      <w:r>
        <w:t>二、反不正当竞争</w:t>
      </w:r>
      <w:bookmarkEnd w:id="40"/>
    </w:p>
    <w:p>
      <w:pPr>
        <w:pStyle w:val="3"/>
      </w:pPr>
      <w:r>
        <w:t>（一）治理</w:t>
      </w:r>
    </w:p>
    <w:p>
      <w:pPr>
        <w:ind w:firstLineChars="200" w:firstLine="480"/>
      </w:pPr>
      <w:commentRangeStart w:id="155"/>
      <w:r>
        <w:t>公司明确反不正当竞争管理要求，严禁商业诋毁、窃取商业机密、虚假宣传及不正当拼价等行为，并建立相应的违规问责机制，对涉嫌违规竞争的行为追究相关责任。</w:t>
      </w:r>
      <w:commentRangeEnd w:id="155"/>
      <w:r>
        <w:rPr>
          <w:rStyle w:val="CommentReference"/>
        </w:rPr>
        <w:commentReference w:id="155"/>
      </w:r>
    </w:p>
    <w:p>
      <w:pPr>
        <w:ind w:firstLineChars="200" w:firstLine="480"/>
      </w:pPr>
      <w:commentRangeStart w:id="156"/>
      <w:r>
        <w:t>在对外宣传方面，公司建立广告与宣传素材合规审查机制。该机制由法务及合规岗位负责初审，法务主要负责人进行复核，重点防范虚假宣传与商业诋毁风险，确保对外发布的广告、宣传物料与新闻稿件真实、准确、合法。针对产品性能对标、认证与奖项声明、客户案例等特殊场景，公司设定严格的审查标准，要求关键信息具备客观证据支撑。此外，公司对已发布的宣传材料开展持续监测与定期抽检，确保其持续符合法律法规与内部合规要求，切实维护公平竞争的市场秩序。</w:t>
      </w:r>
      <w:commentRangeEnd w:id="156"/>
      <w:r>
        <w:rPr>
          <w:rStyle w:val="CommentReference"/>
        </w:rPr>
        <w:commentReference w:id="156"/>
      </w:r>
    </w:p>
    <w:p>
      <w:pPr>
        <w:pStyle w:val="3"/>
      </w:pPr>
      <w:r>
        <w:t>（二）战略</w:t>
      </w:r>
    </w:p>
    <w:p>
      <w:pPr>
        <w:ind w:firstLineChars="200" w:firstLine="480"/>
      </w:pPr>
      <w:commentRangeStart w:id="157"/>
      <w:r>
        <w:t>公司秉持真实性、准确性、合法性、可证明性及利益相关方保护的核心原则，将反不正当竞争与宣传合规理念融入市场竞争与对外沟通的全过程。公司认识到，在精密电子元器件与连接器领域，虚假宣传、商业诋毁或侵犯商业秘密等违规行为不仅会破坏市场公平环境，更将带来法律处罚、财务损失与声誉受损等严峻风险。为此，公司坚持合规经营的长期方向，通过确立严格的合规原则，将公平竞争要求转化为日常运营的内在准则。公司致力于以高标准的商业道德防范市场竞争中的合规隐患，持续提升全员合规意识，坚守合规底线，从而巩固商业信誉，增强客户与合作伙伴信任，在公平健康的市场秩序中实现稳健发展。</w:t>
      </w:r>
      <w:commentRangeEnd w:id="157"/>
      <w:r>
        <w:rPr>
          <w:rStyle w:val="CommentReference"/>
        </w:rPr>
        <w:commentReference w:id="157"/>
      </w:r>
    </w:p>
    <w:p>
      <w:pPr>
        <w:pStyle w:val="3"/>
      </w:pPr>
      <w:r>
        <w:t>（三）影响、风险与机遇管理</w:t>
      </w:r>
    </w:p>
    <w:p>
      <w:pPr>
        <w:pStyle w:val="4"/>
      </w:pPr>
      <w:r>
        <w:t>1. 宣传合规动态监测与违规问责落实</w:t>
      </w:r>
    </w:p>
    <w:p>
      <w:pPr>
        <w:ind w:firstLineChars="200" w:firstLine="480"/>
      </w:pPr>
      <w:commentRangeStart w:id="158"/>
      <w:r>
        <w:t>在宣传合规风险防范方面，公司建立发布后的动态监测与纠正机制。宣传材料发布后三个月内，持续跟踪媒体评论、客户反馈及竞争对手异议；针对涉及虚假宣传的投诉，要求在十个工作日内采取纠正措施，防范合规风险扩散。为确保公平竞争与宣传合规要求有效落地，公司细化考核与问责标准：对未经审批擅自发布高风险宣传内容的部门或个人，扣发20%～50%的绩效奖金；因虚假宣传受到监管部门处罚的，由责任人承担相应赔偿与声誉损失；法务审核未尽责导致违法宣传发出的，追究法务负责人连带责任。</w:t>
      </w:r>
      <w:commentRangeEnd w:id="158"/>
      <w:r>
        <w:rPr>
          <w:rStyle w:val="CommentReference"/>
        </w:rPr>
        <w:commentReference w:id="158"/>
      </w:r>
    </w:p>
    <w:p>
      <w:pPr>
        <w:ind w:firstLineChars="200" w:firstLine="480"/>
      </w:pPr>
      <w:commentRangeStart w:id="159"/>
      <w:r>
        <w:t>在商业秘密保护与对外经营公平竞争方面，公司在市场竞争及与合作伙伴交往中，严格规范员工行为，严禁诱导他人泄露竞争对手或客户的技术秘密与商业机密，切实防范侵犯商业秘密的合规风险，维护公平健康的市场环境。</w:t>
      </w:r>
      <w:commentRangeEnd w:id="159"/>
      <w:r>
        <w:rPr>
          <w:rStyle w:val="CommentReference"/>
        </w:rPr>
        <w:commentReference w:id="159"/>
      </w:r>
    </w:p>
    <w:p>
      <w:pPr>
        <w:pStyle w:val="3"/>
      </w:pPr>
      <w:r>
        <w:t>（四）指标与目标</w:t>
      </w:r>
    </w:p>
    <w:p>
      <w:pPr>
        <w:ind w:firstLineChars="200" w:firstLine="480"/>
      </w:pPr>
      <w:commentRangeStart w:id="160"/>
      <w:r>
        <w:t>公司高度重视反不正当竞争管理，正着手建立以接受反不正当竞争培训的员工比例、接受反不正当竞争培训的供应商比例等为核心的指标管理体系。公司正在推进相关数据的统计、收集、校验与跟踪，并将有关结果纳入后续报告期披露，以落实议题管理、提升相关能力。</w:t>
      </w:r>
      <w:commentRangeEnd w:id="160"/>
      <w:r>
        <w:rPr>
          <w:rStyle w:val="CommentReference"/>
        </w:rPr>
        <w:commentReference w:id="160"/>
      </w:r>
    </w:p>
    <w:p>
      <w:pPr>
        <w:pStyle w:val="2"/>
      </w:pPr>
      <w:bookmarkStart w:id="41" w:name="GS_TOC_041"/>
      <w:r>
        <w:t>三、风险管理</w:t>
      </w:r>
      <w:bookmarkEnd w:id="41"/>
    </w:p>
    <w:p>
      <w:pPr>
        <w:pStyle w:val="3"/>
      </w:pPr>
      <w:r>
        <w:t>（一）治理</w:t>
      </w:r>
    </w:p>
    <w:p>
      <w:pPr>
        <w:pStyle w:val="4"/>
      </w:pPr>
      <w:r>
        <w:t>1. 落实风险管理责任主体与协同机制</w:t>
      </w:r>
    </w:p>
    <w:p>
      <w:pPr>
        <w:ind w:firstLineChars="200" w:firstLine="480"/>
      </w:pPr>
      <w:commentRangeStart w:id="161"/>
      <w:r>
        <w:t>晟原精密在质量、供应链及环境等领域明确了风险管理的责任主体与职责分工，建立跨部门协同管控机制。</w:t>
      </w:r>
      <w:commentRangeEnd w:id="161"/>
      <w:r>
        <w:rPr>
          <w:rStyle w:val="CommentReference"/>
        </w:rPr>
        <w:commentReference w:id="161"/>
      </w:r>
    </w:p>
    <w:p>
      <w:pPr>
        <w:ind w:firstLineChars="200" w:firstLine="480"/>
      </w:pPr>
      <w:commentRangeStart w:id="162"/>
      <w:r>
        <w:t>质量风险管控方面，质量部负责过程监测与客户反馈响应，定期分析巡检数据。针对工序异常，质量部协同生产部与工艺部开展根因分析并落实纠正措施。涉及产品召回时，由质量部部长与生产副总共同确认启动，报总经理备案。</w:t>
      </w:r>
      <w:commentRangeEnd w:id="162"/>
      <w:r>
        <w:rPr>
          <w:rStyle w:val="CommentReference"/>
        </w:rPr>
        <w:commentReference w:id="162"/>
      </w:r>
    </w:p>
    <w:p>
      <w:pPr>
        <w:ind w:firstLineChars="200" w:firstLine="480"/>
      </w:pPr>
      <w:commentRangeStart w:id="163"/>
      <w:r>
        <w:t>供应链风险管理方面，采购部主导供应商风险预警，监控财务、法律及环保等指标。针对供应商重大质量、环保或劳工违规等情形，采购部协同法务部执行停用或退出机制，并组织特别评价。来料异常由采购与质量部门协同处置。</w:t>
      </w:r>
      <w:commentRangeEnd w:id="163"/>
      <w:r>
        <w:rPr>
          <w:rStyle w:val="CommentReference"/>
        </w:rPr>
        <w:commentReference w:id="163"/>
      </w:r>
    </w:p>
    <w:p>
      <w:pPr>
        <w:ind w:firstLineChars="200" w:firstLine="480"/>
      </w:pPr>
      <w:commentRangeStart w:id="164"/>
      <w:r>
        <w:t>环境风险管理方面，环保部门负责环境风险评估与应急响应，定期修订环境突发事件应急预案并组织演练，落实重点风险源管控。</w:t>
      </w:r>
      <w:commentRangeEnd w:id="164"/>
      <w:r>
        <w:rPr>
          <w:rStyle w:val="CommentReference"/>
        </w:rPr>
        <w:commentReference w:id="164"/>
      </w:r>
    </w:p>
    <w:p>
      <w:pPr>
        <w:pStyle w:val="4"/>
      </w:pPr>
      <w:r>
        <w:t>2. 完善多维风险管理制度与流程</w:t>
      </w:r>
    </w:p>
    <w:p>
      <w:pPr>
        <w:ind w:firstLineChars="200" w:firstLine="480"/>
      </w:pPr>
      <w:commentRangeStart w:id="165"/>
      <w:r>
        <w:t>公司围绕质量、供应链与环境等核心领域建立健全风险管理制度与流程。质量管控方面，实施不合格品隔离与关键工序监控，建立根因分析机制，并制定产品召回条件与客户反馈分级响应流程，保障产品交付质量。供应链管理方面，依据《供应链尽职调查管理办法》，从环境合规、劳动安全与商业道德维度开展供应商风险识别、分级评估与持续监测，建立风险预警、多源供应及退出机制，防范供应链中断风险。环境风险方面，每年开展环境风险评估，定期修订突发事件应急预案并组织演练，重点管控危化品泄漏及环保设施故障等风险。上述制度有效提升了公司应对市场波动与合规变化的抗风险能力，保障了产业链稳定与业务连续性。</w:t>
      </w:r>
      <w:commentRangeEnd w:id="165"/>
      <w:r>
        <w:rPr>
          <w:rStyle w:val="CommentReference"/>
        </w:rPr>
        <w:commentReference w:id="165"/>
      </w:r>
    </w:p>
    <w:p>
      <w:pPr>
        <w:pStyle w:val="3"/>
      </w:pPr>
      <w:r>
        <w:t>（二）战略</w:t>
      </w:r>
    </w:p>
    <w:p>
      <w:pPr>
        <w:ind w:firstLineChars="200" w:firstLine="480"/>
      </w:pPr>
      <w:commentRangeStart w:id="166"/>
      <w:r>
        <w:t>在长期经营中，公司将供应链韧性与业务连续性作为风险管理的战略核心。面对全球市场波动，公司重点研判高速连接器芯片、特殊电镀工艺液及精密结构件等核心物资的供应稳定性，识别单一来源、产能周期及地缘因素带来的中断风险。</w:t>
      </w:r>
      <w:commentRangeEnd w:id="166"/>
      <w:r>
        <w:rPr>
          <w:rStyle w:val="CommentReference"/>
        </w:rPr>
        <w:commentReference w:id="166"/>
      </w:r>
    </w:p>
    <w:p>
      <w:pPr>
        <w:ind w:firstLineChars="200" w:firstLine="480"/>
      </w:pPr>
      <w:commentRangeStart w:id="167"/>
      <w:r>
        <w:t>在推进原则方面，公司深化供应源多元化布局，针对关键物料推进第二源建设与国产化替代研发，以分散供应集中度风险。同时，公司将财务健康度与运营稳定性纳入常态化监测体系，设定资产负债率、流动比率及营收波动等量化预警阈值，对流动性困难或高负债供应商采取订单管控、转移采购或协同融资等差异化干预。此外，公司推行供应商绩效动态升降级管理，依据加工精度、质量稳定性及商业透明度实施优胜劣汰，通过供应链结构的持续优化，夯实应对不确定性的长期经营韧性。</w:t>
      </w:r>
      <w:commentRangeEnd w:id="167"/>
      <w:r>
        <w:rPr>
          <w:rStyle w:val="CommentReference"/>
        </w:rPr>
        <w:commentReference w:id="167"/>
      </w:r>
    </w:p>
    <w:p>
      <w:pPr>
        <w:pStyle w:val="3"/>
      </w:pPr>
      <w:r>
        <w:t>（三）影响、风险与机遇管理</w:t>
      </w:r>
    </w:p>
    <w:p>
      <w:pPr>
        <w:ind w:firstLineChars="200" w:firstLine="480"/>
      </w:pPr>
      <w:commentRangeStart w:id="168"/>
      <w:r>
        <w:t>质量风险管控方面，过程监控设定连续3日不合格率超2%的触发阈值，启动根因分析并于2周内验证效果；产品召回全流程控制在30日内；客户反馈按风险等级执行2～7个工作日的分级响应；不合格品实现100%隔离并每周核查。</w:t>
      </w:r>
      <w:commentRangeEnd w:id="168"/>
      <w:r>
        <w:rPr>
          <w:rStyle w:val="CommentReference"/>
        </w:rPr>
        <w:commentReference w:id="168"/>
      </w:r>
    </w:p>
    <w:p>
      <w:pPr>
        <w:ind w:firstLineChars="200" w:firstLine="480"/>
      </w:pPr>
      <w:commentRangeStart w:id="169"/>
      <w:r>
        <w:t>供应链风险管理方面，依据采购金额超过500万元等维度将供应商划分为低、中、高三级。对黄色风险设定30～60天改进期，红色风险实施深度审计或拒绝，60天无实质改进则终止合作。针对高风险物料建立多源供应，2025年内对1家流动性困难供应商停止新单并转移采购，协助2家高负债供应商获取融资支持。对存在严重违规或连续延期的供应商，执行立即停用或限期改善。</w:t>
      </w:r>
      <w:commentRangeEnd w:id="169"/>
      <w:r>
        <w:rPr>
          <w:rStyle w:val="CommentReference"/>
        </w:rPr>
        <w:commentReference w:id="169"/>
      </w:r>
    </w:p>
    <w:p>
      <w:pPr>
        <w:ind w:firstLineChars="200" w:firstLine="480"/>
      </w:pPr>
      <w:commentRangeStart w:id="170"/>
      <w:r>
        <w:t>环境风险管理方面，突发事件发生后1小时内上报，2小时内启动现场恢复。危化品存放于防爆区域并配备应急吸收材料，环保设施加装故障报警装置。</w:t>
      </w:r>
      <w:commentRangeEnd w:id="170"/>
      <w:r>
        <w:rPr>
          <w:rStyle w:val="CommentReference"/>
        </w:rPr>
        <w:commentReference w:id="170"/>
      </w:r>
    </w:p>
    <w:p>
      <w:pPr>
        <w:pStyle w:val="3"/>
      </w:pPr>
      <w:r>
        <w:t>（四）指标与目标</w:t>
      </w:r>
    </w:p>
    <w:p>
      <w:pPr>
        <w:ind w:firstLineChars="200" w:firstLine="480"/>
      </w:pPr>
      <w:commentRangeStart w:id="171"/>
      <w:r>
        <w:t>公司高度重视风险管理，正着手建立以风险排查覆盖率、风险事项整改率及前置风险识别覆盖率等为核心的指标管理体系。公司正在推进相关数据的统计、收集、校验与跟踪，并将有关结果纳入后续报告期披露，以落实议题管理、提升相关能力。</w:t>
      </w:r>
      <w:commentRangeEnd w:id="171"/>
      <w:r>
        <w:rPr>
          <w:rStyle w:val="CommentReference"/>
        </w:rPr>
        <w:commentReference w:id="171"/>
      </w:r>
    </w:p>
    <w:p>
      <w:pPr>
        <w:pStyle w:val="2"/>
      </w:pPr>
      <w:bookmarkStart w:id="42" w:name="GS_TOC_042"/>
      <w:r>
        <w:t>四、尽职调查</w:t>
      </w:r>
      <w:bookmarkEnd w:id="42"/>
    </w:p>
    <w:p>
      <w:pPr>
        <w:pStyle w:val="3"/>
      </w:pPr>
      <w:r>
        <w:t>（一）治理</w:t>
      </w:r>
    </w:p>
    <w:p>
      <w:pPr>
        <w:ind w:firstLineChars="200" w:firstLine="480"/>
      </w:pPr>
      <w:commentRangeStart w:id="172"/>
      <w:r>
        <w:t>公司建立由采购部主导，法务合规部、质量部及可持续发展办公室协同参与的供应链尽职调查机制，覆盖供应商准入、评估、监测与退出的全流程。</w:t>
      </w:r>
      <w:commentRangeEnd w:id="172"/>
      <w:r>
        <w:rPr>
          <w:rStyle w:val="CommentReference"/>
        </w:rPr>
        <w:commentReference w:id="172"/>
      </w:r>
    </w:p>
    <w:p>
      <w:pPr>
        <w:ind w:firstLineChars="200" w:firstLine="480"/>
      </w:pPr>
      <w:commentRangeStart w:id="173"/>
      <w:r>
        <w:t>在责任安排上，采购部负责供应商信息收集、初期风险分级及常态化监测，并主导风险缓解与现场审计；法务合规部协同开展环境合规、劳动与安全、商业道德等维度的评估与风险预警，并定期复评；质量部参与现场审核与产品能力评估；可持续发展办公室负责汇总调查情况，定期向可持续发展委员会报告供应链风险摘要。</w:t>
      </w:r>
      <w:commentRangeEnd w:id="173"/>
      <w:r>
        <w:rPr>
          <w:rStyle w:val="CommentReference"/>
        </w:rPr>
        <w:commentReference w:id="173"/>
      </w:r>
    </w:p>
    <w:p>
      <w:pPr>
        <w:ind w:firstLineChars="200" w:firstLine="480"/>
      </w:pPr>
      <w:commentRangeStart w:id="174"/>
      <w:r>
        <w:t>在流程机制上，公司对新引入供应商实施资料审核、现场审核与样品评估，完成准入前尽职调查。针对现有供应商，公司依据采购金额、行业特性等指标进行风险分级，开展定期复评与事件触发审查。对于识别出的合规风险，公司要求供应商制定纠正与预防行动计划，并跟踪改进成效；对存在严重违规或商业犯罪等情形的供应商，实施黑名单管理并终止合作。</w:t>
      </w:r>
      <w:commentRangeEnd w:id="174"/>
      <w:r>
        <w:rPr>
          <w:rStyle w:val="CommentReference"/>
        </w:rPr>
        <w:commentReference w:id="174"/>
      </w:r>
    </w:p>
    <w:p>
      <w:pPr>
        <w:pStyle w:val="3"/>
      </w:pPr>
      <w:r>
        <w:t>（二）战略</w:t>
      </w:r>
    </w:p>
    <w:p>
      <w:pPr>
        <w:ind w:firstLineChars="200" w:firstLine="480"/>
      </w:pPr>
      <w:commentRangeStart w:id="175"/>
      <w:r>
        <w:t>公司对标RBA责任商业联盟行为规范、联合国工商业与人权指导原则及ISO 20400可持续采购标准等国际准则，将可持续发展理念融入采购战略，确立合规、透明与风险导向的尽职调查基本原则。在关注方向上，公司聚焦供应商的环境合规、劳工权益与职业安全、商业道德等ESG核心议题，同时将财务健康状况、质量保障与交期稳定性纳入综合评估体系，以全面防范供应链中断、违规处罚及声誉受损等潜在风险。通过系统性的合规审查与多维度的风险监测，公司致力于提前识别并缓解供应链潜在的负面外部性，保障业务连续性，并以此响应境内外整机厂与车企一级供应商日益严格的ESG要求，巩固在新能源汽车与消费电子领域的长期合作基础。</w:t>
      </w:r>
      <w:commentRangeEnd w:id="175"/>
      <w:r>
        <w:rPr>
          <w:rStyle w:val="CommentReference"/>
        </w:rPr>
        <w:commentReference w:id="175"/>
      </w:r>
    </w:p>
    <w:p>
      <w:pPr>
        <w:pStyle w:val="3"/>
      </w:pPr>
      <w:r>
        <w:t>（三）影响、风险与机遇管理</w:t>
      </w:r>
    </w:p>
    <w:p>
      <w:pPr>
        <w:ind w:firstLineChars="200" w:firstLine="480"/>
      </w:pPr>
      <w:commentRangeStart w:id="176"/>
      <w:r>
        <w:t>公司建立涵盖质量、交期、技术、价格及ESG表现的年度供应商评价体系。2025年，公司对33家供应商开展ESG专项审计，A类、B类、C类供应商抽检比例分别为50%、30%与7%，审计覆盖环境合规、劳工与安全、商业道德等维度。</w:t>
      </w:r>
      <w:commentRangeEnd w:id="176"/>
      <w:r>
        <w:rPr>
          <w:rStyle w:val="CommentReference"/>
        </w:rPr>
        <w:commentReference w:id="176"/>
      </w:r>
    </w:p>
    <w:p>
      <w:pPr>
        <w:ind w:firstLineChars="200" w:firstLine="480"/>
      </w:pPr>
      <w:commentRangeStart w:id="177"/>
      <w:r>
        <w:t>在财务风险监测方面，公司设定负债率、流动比率及营收增长率等预警指标，对流动性困难或高负债供应商采取停止新订单、转移采购或协助对接融资等缓解措施。</w:t>
      </w:r>
      <w:commentRangeEnd w:id="177"/>
      <w:r>
        <w:rPr>
          <w:rStyle w:val="CommentReference"/>
        </w:rPr>
        <w:commentReference w:id="177"/>
      </w:r>
    </w:p>
    <w:p>
      <w:pPr>
        <w:ind w:firstLineChars="200" w:firstLine="480"/>
      </w:pPr>
      <w:commentRangeStart w:id="178"/>
      <w:r>
        <w:t>在问题整改与退出管理方面，2025年审计发现污水处理不达标及加班管理不规范等问题，已督促相关供应商限期整改；对拒绝配合审查者予以退出。年内，公司因产品质量、环保违法、交期违约、财务困难、供应假冒产品及劳工违法等原因共退出6家供应商。针对假冒芯片与童工事件，公司采取报警、诉讼索赔及向监管部门报告等处置措施，相关采购损失约占年度采购额的0.09%，风险整体可控。</w:t>
      </w:r>
      <w:commentRangeEnd w:id="178"/>
      <w:r>
        <w:rPr>
          <w:rStyle w:val="CommentReference"/>
        </w:rPr>
        <w:commentReference w:id="178"/>
      </w:r>
    </w:p>
    <w:p>
      <w:pPr>
        <w:pStyle w:val="3"/>
      </w:pPr>
      <w:r>
        <w:t>（四）指标与目标</w:t>
      </w:r>
    </w:p>
    <w:p>
      <w:pPr>
        <w:ind w:firstLineChars="200" w:firstLine="480"/>
      </w:pPr>
      <w:commentRangeStart w:id="179"/>
      <w:r>
        <w:t>公司高度重视供应链尽职调查管理，正着手建立以新供应商尽职调查覆盖率、现有供应商复评覆盖率及风险缓解计划完成率等为核心的指标管理体系。公司正在推进相关数据的统计、收集、校验与跟踪，并将有关结果纳入后续报告期披露，以落实议题管理、提升相关能力。</w:t>
      </w:r>
      <w:commentRangeEnd w:id="179"/>
      <w:r>
        <w:rPr>
          <w:rStyle w:val="CommentReference"/>
        </w:rPr>
        <w:commentReference w:id="179"/>
      </w:r>
    </w:p>
    <w:p>
      <w:pPr>
        <w:pStyle w:val="1"/>
        <w:pageBreakBefore/>
      </w:pPr>
      <w:bookmarkStart w:id="43" w:name="GS_TOC_043"/>
      <w:r>
        <w:t>附录</w:t>
      </w:r>
      <w:bookmarkEnd w:id="43"/>
    </w:p>
    <w:p>
      <w:pPr>
        <w:pStyle w:val="2"/>
        <w:pageBreakBefore/>
      </w:pPr>
      <w:bookmarkStart w:id="44" w:name="GS_TOC_044"/>
      <w:r>
        <w:t>一、ESG关键绩效表</w:t>
      </w:r>
      <w:bookmarkEnd w:id="44"/>
    </w:p>
    <w:p>
      <w:pPr>
        <w:pStyle w:val="CaptionTable"/>
      </w:pPr>
      <w:r>
        <w:t>表A.1　ESG 关键绩效表</w:t>
      </w:r>
    </w:p>
    <w:tbl>
      <w:tblPr>
        <w:tblW w:type="dxa" w:w="9070"/>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1814"/>
        <w:gridCol w:w="1814"/>
        <w:gridCol w:w="1814"/>
        <w:gridCol w:w="1814"/>
        <w:gridCol w:w="1814"/>
      </w:tblGrid>
      <w:tr>
        <w:trPr>
          <w:tblHeader w:val="true"/>
        </w:trPr>
        <w:tc>
          <w:tcPr>
            <w:tcW w:type="dxa" w:w="1814"/>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议题类别</w:t>
            </w:r>
          </w:p>
        </w:tc>
        <w:tc>
          <w:tcPr>
            <w:tcW w:type="dxa" w:w="1814"/>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指标</w:t>
            </w:r>
          </w:p>
        </w:tc>
        <w:tc>
          <w:tcPr>
            <w:tcW w:type="dxa" w:w="1814"/>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单位</w:t>
            </w:r>
          </w:p>
        </w:tc>
        <w:tc>
          <w:tcPr>
            <w:tcW w:type="dxa" w:w="1814"/>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报告年度数值</w:t>
            </w:r>
          </w:p>
        </w:tc>
        <w:tc>
          <w:tcPr>
            <w:tcW w:type="dxa" w:w="1814"/>
            <w:vAlign w:val="center"/>
            <w:tcMar>
              <w:top w:w="80" w:type="dxa"/>
              <w:start w:w="90" w:type="dxa"/>
              <w:bottom w:w="80" w:type="dxa"/>
              <w:end w:w="90" w:type="dxa"/>
            </w:tcMar>
          </w:tcPr>
          <w:p>
            <w:pPr>
              <w:spacing w:before="0" w:after="0" w:line="276" w:lineRule="auto"/>
              <w:jc w:val="center"/>
            </w:pPr>
            <w:r/>
            <w:r>
              <w:rPr>
                <w:rFonts w:ascii="SimSun" w:hAnsi="SimSun" w:eastAsia="宋体"/>
                <w:b/>
                <w:color w:val="C00000"/>
                <w:sz w:val="17"/>
              </w:rPr>
              <w:t>口径备注</w:t>
            </w:r>
          </w:p>
        </w:tc>
      </w:tr>
      <w:tr>
        <w:trPr>
          <w:cantSplit/>
        </w:trPr>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经济绩效</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营业收入</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百万元</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650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2025 年度营业收入</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范围一：温室气体排放总量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吨二氧化碳当量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12800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核算标准：ISO 14064-1:2018及《工业企业温室气体排放核算和报告通则》（GB/T 32150-2015）；苏州主厂区天然气与工艺直接排放</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范围二：温室气体排放总量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吨二氧化碳当量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26400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核算标准：ISO 14064-1:2018及《工业企业温室气体排放核算和报告通则》（GB/T 32150-2015）；外购电力产生的间接排放（市场法）</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温室气体排放总量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吨二氧化碳当量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39200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核算标准：ISO 14064-1:2018及《工业企业温室气体排放核算和报告通则》（GB/T 32150-2015）</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能源管理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电力消耗量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吨标准煤</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12100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外购电力 42,500 MWh 折算标准煤</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其他</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吨标准煤</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6500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天然气 6,474 与柴油 26 折算标准煤合计</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太阳能消耗量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吨标准煤</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屋顶光伏发电自用部分折算</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污染物排放管理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挥发性有机化合物（VOC）</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主厂区废气治理设施处理后排放口</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工业废水总量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8600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预处理后纳入园区污水管网的工业废水</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废弃物管理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废弃物总量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42.6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一般工业固废、危险废弃物与生活垃圾合计</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无害废弃物</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39.4</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金属边角料、一般包装废弃物与生活垃圾</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有害废弃物</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3.2</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含油抹布、废包装桶与废活性炭等</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废弃物回收再利用总量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18.0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金属边角料与部分包装材料资源化利用</w:t>
            </w:r>
          </w:p>
        </w:tc>
      </w:tr>
      <w:tr>
        <w:trPr>
          <w:cantSplit/>
        </w:trPr>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水资源管理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所有地区取水总量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12500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主厂区生产与生活用水</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人力资本发展</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员工总数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860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报告期末在册员工</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男性员工</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520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报告期末男性员工</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女性员工</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340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报告期末女性员工</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博士</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2</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博士学历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硕士</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48</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硕士学历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本科</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310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本科学历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本科以下学历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500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本科以下学历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员工流失率</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8.5</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离职 72 人 ÷ 平均在册 846 人</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全年培训投入金额</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万元人民币</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86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覆盖生产、质量与管理岗位</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员工培训覆盖率</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培训总学时 10,248 ÷ 员工总数 860</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产品质量与安全</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产品召回事件数量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报告期无产品召回</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已售或已运送产品总数中因安全与质量理由而须回收的比例</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报告期无产品召回</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客户服务质量管理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关于产品及服务的投诉数量</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产品及服务相关投诉</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投诉处理率</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100</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已受理投诉处理完成率</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可持续供应链管理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供应商总数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186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纳入采购系统的活跃供应商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中国内地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168</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中国内地供应商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港澳台地区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4</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港澳台地区供应商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国外供应商</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14</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国外供应商</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年度淘汰供应商总数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家</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6</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年度评价与退出记录</w:t>
            </w:r>
          </w:p>
        </w:tc>
      </w:tr>
      <w:tr>
        <w:trPr>
          <w:cantSplit/>
        </w:trPr>
        <w:tc>
          <w:tcPr>
            <w:tcW w:type="dxa" w:w="1814"/>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反商业贿赂及反贪腐</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反贪腐培训总次数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次</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4</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采购、财务、销售与供应商对接岗位廉洁培训</w:t>
            </w:r>
          </w:p>
        </w:tc>
      </w:tr>
      <w:tr>
        <w:trPr>
          <w:cantSplit/>
        </w:trPr>
        <w:tc>
          <w:tcPr>
            <w:tcW w:type="dxa" w:w="1814"/>
            <w:vMerge/>
          </w:tcP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反贪腐培训总人数</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128</w:t>
            </w:r>
          </w:p>
        </w:tc>
        <w:tc>
          <w:tcPr>
            <w:tcW w:type="dxa" w:w="1814"/>
            <w:vAlign w:val="center"/>
            <w:tcMar>
              <w:top w:w="80" w:type="dxa"/>
              <w:start w:w="90" w:type="dxa"/>
              <w:bottom w:w="80" w:type="dxa"/>
              <w:end w:w="90" w:type="dxa"/>
            </w:tcMar>
          </w:tcPr>
          <w:p>
            <w:pPr>
              <w:spacing w:before="0" w:after="0" w:line="276" w:lineRule="auto"/>
              <w:jc w:val="left"/>
            </w:pPr>
            <w:r/>
            <w:r>
              <w:rPr>
                <w:rFonts w:ascii="SimSun" w:hAnsi="SimSun" w:eastAsia="宋体"/>
                <w:b w:val="0"/>
                <w:color w:val="C00000"/>
                <w:sz w:val="17"/>
              </w:rPr>
              <w:t>廉洁培训签到统计</w:t>
            </w:r>
          </w:p>
        </w:tc>
      </w:tr>
    </w:tbl>
    <w:p>
      <w:pPr>
        <w:pStyle w:val="2"/>
        <w:pageBreakBefore/>
      </w:pPr>
      <w:bookmarkStart w:id="45" w:name="GS_TOC_045"/>
      <w:r>
        <w:t>二、索引表</w:t>
      </w:r>
      <w:bookmarkEnd w:id="45"/>
    </w:p>
    <w:p>
      <w:pPr>
        <w:ind w:firstLineChars="200" w:firstLine="480"/>
      </w:pPr>
      <w:r>
        <w:t>《上海证券交易所上市公司自律监管指引第14号——可持续发展报告（试行）》</w:t>
      </w:r>
    </w:p>
    <w:p>
      <w:pPr>
        <w:pStyle w:val="CaptionTable"/>
      </w:pPr>
      <w:r>
        <w:t>表A.2　可持续发展披露索引表</w:t>
      </w:r>
    </w:p>
    <w:tbl>
      <w:tblPr>
        <w:tblW w:type="dxa" w:w="9069"/>
        <w:jc w:val="center"/>
        <w:tblLayout w:type="fixed"/>
        <w:tblLook w:firstColumn="1" w:firstRow="1" w:lastColumn="0" w:lastRow="0" w:noHBand="0" w:noVBand="1" w:val="04A0"/>
        <w:tblBorders>
          <w:top w:val="single" w:sz="12" w:color="1F4E79"/>
          <w:bottom w:val="single" w:sz="12" w:color="1F4E79"/>
          <w:left w:val="nil"/>
          <w:right w:val="nil"/>
          <w:insideV w:val="nil"/>
          <w:insideH w:val="single" w:sz="4" w:color="BFBFBF"/>
        </w:tblBorders>
      </w:tblPr>
      <w:tblGrid>
        <w:gridCol w:w="3023"/>
        <w:gridCol w:w="3023"/>
        <w:gridCol w:w="3023"/>
      </w:tblGrid>
      <w:tr>
        <w:trPr>
          <w:tblHeader w:val="true"/>
        </w:trPr>
        <w:tc>
          <w:tcPr>
            <w:tcW w:type="dxa" w:w="3023"/>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披露要求</w:t>
            </w:r>
          </w:p>
        </w:tc>
        <w:tc>
          <w:tcPr>
            <w:tcW w:type="dxa" w:w="3023"/>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条款</w:t>
            </w:r>
          </w:p>
        </w:tc>
        <w:tc>
          <w:tcPr>
            <w:tcW w:type="dxa" w:w="3023"/>
            <w:vAlign w:val="center"/>
            <w:tcMar>
              <w:top w:w="80" w:type="dxa"/>
              <w:start w:w="90" w:type="dxa"/>
              <w:bottom w:w="80" w:type="dxa"/>
              <w:end w:w="90" w:type="dxa"/>
            </w:tcMar>
          </w:tcPr>
          <w:p>
            <w:pPr>
              <w:spacing w:before="0" w:after="0" w:line="276" w:lineRule="auto"/>
              <w:jc w:val="center"/>
            </w:pPr>
            <w:r/>
            <w:r>
              <w:rPr>
                <w:rFonts w:ascii="SimSun" w:hAnsi="SimSun" w:eastAsia="宋体"/>
                <w:b/>
                <w:color w:val="1F4E79"/>
                <w:sz w:val="17"/>
              </w:rPr>
              <w:t>对应的本报告章节</w:t>
            </w:r>
          </w:p>
        </w:tc>
      </w:tr>
      <w:tr>
        <w:trPr>
          <w:cantSplit/>
        </w:trPr>
        <w:tc>
          <w:tcPr>
            <w:tcW w:type="dxa" w:w="9069"/>
            <w:gridSpan w:val="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第三章 环境信息披露</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第一节 应对气候变化</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第二十一条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第二十二条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第二十三条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第二十四条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第二十五条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第二十六条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第二十七条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第二十八条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第二节 污染防治与生态系统保护</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第二十九条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环境合规管理</w:t>
            </w:r>
          </w:p>
          <w:p>
            <w:pPr>
              <w:spacing w:before="0" w:after="0" w:line="276" w:lineRule="auto"/>
              <w:jc w:val="left"/>
            </w:pPr>
            <w:r>
              <w:rPr>
                <w:rFonts w:ascii="SimSun" w:hAnsi="SimSun" w:eastAsia="宋体"/>
                <w:b w:val="0"/>
                <w:sz w:val="17"/>
              </w:rPr>
              <w:t>污染物排放管理</w:t>
            </w:r>
          </w:p>
          <w:p>
            <w:pPr>
              <w:spacing w:before="0" w:after="0" w:line="276" w:lineRule="auto"/>
              <w:jc w:val="left"/>
            </w:pPr>
            <w:r>
              <w:rPr>
                <w:rFonts w:ascii="SimSun" w:hAnsi="SimSun" w:eastAsia="宋体"/>
                <w:b w:val="0"/>
                <w:sz w:val="17"/>
              </w:rPr>
              <w:t>废弃物管理</w:t>
            </w:r>
          </w:p>
          <w:p>
            <w:pPr>
              <w:spacing w:before="0" w:after="0" w:line="276" w:lineRule="auto"/>
              <w:jc w:val="left"/>
            </w:pPr>
            <w:r>
              <w:rPr>
                <w:rFonts w:ascii="SimSun" w:hAnsi="SimSun" w:eastAsia="宋体"/>
                <w:b w:val="0"/>
                <w:sz w:val="17"/>
              </w:rPr>
              <w:t>生态系统与生物多样性保护</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污染物排放管理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第三十一条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废弃物管理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第三十二条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生态系统与生物多样性保护</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第三十三条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环境合规管理</w:t>
            </w:r>
          </w:p>
          <w:p>
            <w:pPr>
              <w:spacing w:before="0" w:after="0" w:line="276" w:lineRule="auto"/>
              <w:jc w:val="left"/>
            </w:pPr>
            <w:r>
              <w:rPr>
                <w:rFonts w:ascii="SimSun" w:hAnsi="SimSun" w:eastAsia="宋体"/>
                <w:b w:val="0"/>
                <w:sz w:val="17"/>
              </w:rPr>
              <w:t>污染物排放管理</w:t>
            </w:r>
          </w:p>
          <w:p>
            <w:pPr>
              <w:spacing w:before="0" w:after="0" w:line="276" w:lineRule="auto"/>
              <w:jc w:val="left"/>
            </w:pPr>
            <w:r>
              <w:rPr>
                <w:rFonts w:ascii="SimSun" w:hAnsi="SimSun" w:eastAsia="宋体"/>
                <w:b w:val="0"/>
                <w:sz w:val="17"/>
              </w:rPr>
              <w:t>废弃物管理</w:t>
            </w:r>
          </w:p>
          <w:p>
            <w:pPr>
              <w:spacing w:before="0" w:after="0" w:line="276" w:lineRule="auto"/>
              <w:jc w:val="left"/>
            </w:pPr>
            <w:r>
              <w:rPr>
                <w:rFonts w:ascii="SimSun" w:hAnsi="SimSun" w:eastAsia="宋体"/>
                <w:b w:val="0"/>
                <w:sz w:val="17"/>
              </w:rPr>
              <w:t>生态系统与生物多样性保护</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第三节 资源利用与循环经济</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第三十四条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p>
            <w:pPr>
              <w:spacing w:before="0" w:after="0" w:line="276" w:lineRule="auto"/>
              <w:jc w:val="left"/>
            </w:pPr>
            <w:r>
              <w:rPr>
                <w:rFonts w:ascii="SimSun" w:hAnsi="SimSun" w:eastAsia="宋体"/>
                <w:b w:val="0"/>
                <w:sz w:val="17"/>
              </w:rPr>
              <w:t>能源管理</w:t>
            </w:r>
          </w:p>
          <w:p>
            <w:pPr>
              <w:spacing w:before="0" w:after="0" w:line="276" w:lineRule="auto"/>
              <w:jc w:val="left"/>
            </w:pPr>
            <w:r>
              <w:rPr>
                <w:rFonts w:ascii="SimSun" w:hAnsi="SimSun" w:eastAsia="宋体"/>
                <w:b w:val="0"/>
                <w:sz w:val="17"/>
              </w:rPr>
              <w:t>水资源管理</w:t>
            </w:r>
          </w:p>
          <w:p>
            <w:pPr>
              <w:spacing w:before="0" w:after="0" w:line="276" w:lineRule="auto"/>
              <w:jc w:val="left"/>
            </w:pPr>
            <w:r>
              <w:rPr>
                <w:rFonts w:ascii="SimSun" w:hAnsi="SimSun" w:eastAsia="宋体"/>
                <w:b w:val="0"/>
                <w:sz w:val="17"/>
              </w:rPr>
              <w:t>促进循环经济</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第三十五条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应对气候变化</w:t>
            </w:r>
          </w:p>
          <w:p>
            <w:pPr>
              <w:spacing w:before="0" w:after="0" w:line="276" w:lineRule="auto"/>
              <w:jc w:val="left"/>
            </w:pPr>
            <w:r>
              <w:rPr>
                <w:rFonts w:ascii="SimSun" w:hAnsi="SimSun" w:eastAsia="宋体"/>
                <w:b w:val="0"/>
                <w:sz w:val="17"/>
              </w:rPr>
              <w:t>能源管理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第三十六条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水资源管理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第三十七条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促进循环经济</w:t>
            </w:r>
          </w:p>
        </w:tc>
      </w:tr>
      <w:tr>
        <w:trPr>
          <w:cantSplit/>
        </w:trPr>
        <w:tc>
          <w:tcPr>
            <w:tcW w:type="dxa" w:w="9069"/>
            <w:gridSpan w:val="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第四章 社会信息披露</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第一节 乡村振兴与社会贡献</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第三十八条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乡村振兴与社会贡献</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第三十九条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乡村振兴与社会贡献</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乡村振兴与社会贡献</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第二节 创新驱动与科技伦理</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第四十一条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创新驱动</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第四十二条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创新驱动</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第四十三条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科技伦理</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第三节 供应商与客户</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第四十四条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可持续供应链管理</w:t>
            </w:r>
          </w:p>
          <w:p>
            <w:pPr>
              <w:spacing w:before="0" w:after="0" w:line="276" w:lineRule="auto"/>
              <w:jc w:val="left"/>
            </w:pPr>
            <w:r>
              <w:rPr>
                <w:rFonts w:ascii="SimSun" w:hAnsi="SimSun" w:eastAsia="宋体"/>
                <w:b w:val="0"/>
                <w:sz w:val="17"/>
              </w:rPr>
              <w:t>平等对待中小企业</w:t>
            </w:r>
          </w:p>
          <w:p>
            <w:pPr>
              <w:spacing w:before="0" w:after="0" w:line="276" w:lineRule="auto"/>
              <w:jc w:val="left"/>
            </w:pPr>
            <w:r>
              <w:rPr>
                <w:rFonts w:ascii="SimSun" w:hAnsi="SimSun" w:eastAsia="宋体"/>
                <w:b w:val="0"/>
                <w:sz w:val="17"/>
              </w:rPr>
              <w:t>产品质量与安全</w:t>
            </w:r>
          </w:p>
          <w:p>
            <w:pPr>
              <w:spacing w:before="0" w:after="0" w:line="276" w:lineRule="auto"/>
              <w:jc w:val="left"/>
            </w:pPr>
            <w:r>
              <w:rPr>
                <w:rFonts w:ascii="SimSun" w:hAnsi="SimSun" w:eastAsia="宋体"/>
                <w:b w:val="0"/>
                <w:sz w:val="17"/>
              </w:rPr>
              <w:t>客户服务质量管理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第四十五条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可持续供应链管理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第四十六条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平等对待中小企业</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第四十七条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产品质量与安全</w:t>
            </w:r>
          </w:p>
          <w:p>
            <w:pPr>
              <w:spacing w:before="0" w:after="0" w:line="276" w:lineRule="auto"/>
              <w:jc w:val="left"/>
            </w:pPr>
            <w:r>
              <w:rPr>
                <w:rFonts w:ascii="SimSun" w:hAnsi="SimSun" w:eastAsia="宋体"/>
                <w:b w:val="0"/>
                <w:sz w:val="17"/>
              </w:rPr>
              <w:t>客户服务质量管理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第四十八条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数据安全与客户隐私保护</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第四节 员工</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第四十九条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人力资本发展</w:t>
            </w:r>
          </w:p>
          <w:p>
            <w:pPr>
              <w:spacing w:before="0" w:after="0" w:line="276" w:lineRule="auto"/>
              <w:jc w:val="left"/>
            </w:pPr>
            <w:r>
              <w:rPr>
                <w:rFonts w:ascii="SimSun" w:hAnsi="SimSun" w:eastAsia="宋体"/>
                <w:b w:val="0"/>
                <w:sz w:val="17"/>
              </w:rPr>
              <w:t>职业健康与安全</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人力资本发展</w:t>
            </w:r>
          </w:p>
          <w:p>
            <w:pPr>
              <w:spacing w:before="0" w:after="0" w:line="276" w:lineRule="auto"/>
              <w:jc w:val="left"/>
            </w:pPr>
            <w:r>
              <w:rPr>
                <w:rFonts w:ascii="SimSun" w:hAnsi="SimSun" w:eastAsia="宋体"/>
                <w:b w:val="0"/>
                <w:sz w:val="17"/>
              </w:rPr>
              <w:t>职业健康与安全</w:t>
            </w:r>
          </w:p>
        </w:tc>
      </w:tr>
      <w:tr>
        <w:trPr>
          <w:cantSplit/>
        </w:trPr>
        <w:tc>
          <w:tcPr>
            <w:tcW w:type="dxa" w:w="9069"/>
            <w:gridSpan w:val="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第五章 可持续发展相关治理信息披露</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第一节 可持续发展相关治理机制</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第五十一条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可持续发展管理</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第五十二条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尽职调查</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第五十三条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利益相关方沟通</w:t>
            </w:r>
          </w:p>
        </w:tc>
      </w:tr>
      <w:tr>
        <w:trPr>
          <w:cantSplit/>
        </w:trPr>
        <w:tc>
          <w:tcPr>
            <w:tcW w:type="dxa" w:w="3023"/>
            <w:vMerge w:val="restart"/>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第二节 商业行为</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第五十四条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反商业贿赂与反贪污</w:t>
            </w:r>
          </w:p>
          <w:p>
            <w:pPr>
              <w:spacing w:before="0" w:after="0" w:line="276" w:lineRule="auto"/>
              <w:jc w:val="left"/>
            </w:pPr>
            <w:r>
              <w:rPr>
                <w:rFonts w:ascii="SimSun" w:hAnsi="SimSun" w:eastAsia="宋体"/>
                <w:b w:val="0"/>
                <w:sz w:val="17"/>
              </w:rPr>
              <w:t>反不正当竞争</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第五十五条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反商业贿赂与反贪污</w:t>
            </w:r>
          </w:p>
        </w:tc>
      </w:tr>
      <w:tr>
        <w:trPr>
          <w:cantSplit/>
        </w:trPr>
        <w:tc>
          <w:tcPr>
            <w:tcW w:type="dxa" w:w="3023"/>
            <w:vMerge/>
          </w:tcP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第五十六条</w:t>
            </w:r>
          </w:p>
        </w:tc>
        <w:tc>
          <w:tcPr>
            <w:tcW w:type="dxa" w:w="3023"/>
            <w:vAlign w:val="center"/>
            <w:tcMar>
              <w:top w:w="80" w:type="dxa"/>
              <w:start w:w="90" w:type="dxa"/>
              <w:bottom w:w="80" w:type="dxa"/>
              <w:end w:w="90" w:type="dxa"/>
            </w:tcMar>
          </w:tcPr>
          <w:p>
            <w:pPr>
              <w:spacing w:before="0" w:after="0" w:line="276" w:lineRule="auto"/>
              <w:jc w:val="left"/>
            </w:pPr>
            <w:r/>
            <w:r>
              <w:rPr>
                <w:rFonts w:ascii="SimSun" w:hAnsi="SimSun" w:eastAsia="宋体"/>
                <w:b w:val="0"/>
                <w:sz w:val="17"/>
              </w:rPr>
              <w:t>反不正当竞争</w:t>
            </w:r>
          </w:p>
        </w:tc>
      </w:tr>
    </w:tbl>
    <w:p>
      <w:pPr>
        <w:pStyle w:val="2"/>
        <w:pageBreakBefore/>
      </w:pPr>
      <w:bookmarkStart w:id="46" w:name="GS_TOC_046"/>
      <w:r>
        <w:t>三、读者反馈</w:t>
      </w:r>
      <w:bookmarkEnd w:id="46"/>
    </w:p>
    <w:p>
      <w:pPr>
        <w:ind w:firstLineChars="200" w:firstLine="480"/>
      </w:pPr>
      <w:r>
        <w:t>尊敬的读者：感谢您阅读晟原精密可持续发展报告。我们欢迎您就本报告内容提出意见与建议。</w:t>
      </w:r>
    </w:p>
    <w:p>
      <w:pPr>
        <w:ind w:firstLineChars="200" w:firstLine="480"/>
      </w:pPr>
      <w:r>
        <w:t>晟原精密电子股份有限公司</w:t>
      </w:r>
    </w:p>
    <w:p>
      <w:pPr>
        <w:ind w:firstLineChars="200" w:firstLine="480"/>
      </w:pPr>
      <w:r>
        <w:t>公司地址：江苏省苏州市工业园区晟原路 18 号</w:t>
      </w:r>
    </w:p>
    <w:p>
      <w:pPr>
        <w:ind w:firstLineChars="200" w:firstLine="480"/>
      </w:pPr>
      <w:r>
        <w:t>联系邮箱：esg@example-shengyuan.com</w:t>
      </w:r>
    </w:p>
    <w:p>
      <w:pPr>
        <w:ind w:firstLineChars="200" w:firstLine="480"/>
      </w:pPr>
      <w:r>
        <w:t>联系电话：0512-00000000</w:t>
      </w:r>
    </w:p>
    <w:sectPr w:rsidR="00446207" w:rsidRPr="00DB02E1" w:rsidSect="007A7D8B">
      <w:footerReference w:type="default" r:id="rId65"/>
      <w:pgSz w:w="11906" w:h="16838"/>
      <w:pgMar w:top="1134" w:right="1418" w:bottom="1134" w:left="1418" w:header="113" w:footer="284" w:gutter="0"/>
      <w:cols w:space="425"/>
      <w:docGrid w:type="lines" w:linePitch="312"/>
      <w:pgNumType w:start="1"/>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《2025年度董事会与治理运作说明.docx》</w:t>
      </w:r>
    </w:p>
    <w:p>
      <w:pPr>
        <w:pStyle w:val="CommentText"/>
      </w:pPr>
      <w:r>
        <w:t>- 《可持续发展委员会工作规则.docx》</w:t>
      </w:r>
    </w:p>
    <w:p>
      <w:pPr>
        <w:pStyle w:val="CommentText"/>
      </w:pPr>
      <w:r>
        <w:t>- 《反商业贿赂与廉洁从业规定.docx》</w:t>
      </w:r>
    </w:p>
    <w:p>
      <w:pPr>
        <w:pStyle w:val="CommentText"/>
      </w:pPr>
      <w:r>
        <w:t>阅读提示：本版仅采用了可稳定支持报告表述的资料内容。</w:t>
      </w:r>
    </w:p>
  </w:comment>
  <w:comment w:id="1"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《2025年度董事会与治理运作说明.docx》</w:t>
      </w:r>
    </w:p>
    <w:p>
      <w:pPr>
        <w:pStyle w:val="CommentText"/>
      </w:pPr>
      <w:r>
        <w:t>- 《可持续发展委员会工作规则.docx》</w:t>
      </w:r>
    </w:p>
    <w:p>
      <w:pPr>
        <w:pStyle w:val="CommentText"/>
      </w:pPr>
      <w:r>
        <w:t>- 《反商业贿赂与廉洁从业规定.docx》</w:t>
      </w:r>
    </w:p>
    <w:p>
      <w:pPr>
        <w:pStyle w:val="CommentText"/>
      </w:pPr>
      <w:r>
        <w:t>阅读提示：本版仅采用了可稳定支持报告表述的资料内容。</w:t>
      </w:r>
    </w:p>
  </w:comment>
  <w:comment w:id="2"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《2025年度可持续发展委员会会议纪要.docx》</w:t>
      </w:r>
    </w:p>
    <w:p>
      <w:pPr>
        <w:pStyle w:val="CommentText"/>
      </w:pPr>
      <w:r>
        <w:t>阅读提示：本版仅采用了可稳定支持报告表述的资料内容。</w:t>
      </w:r>
    </w:p>
  </w:comment>
  <w:comment w:id="3"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《2025年度可持续发展委员会会议纪要.docx》</w:t>
      </w:r>
    </w:p>
    <w:p>
      <w:pPr>
        <w:pStyle w:val="CommentText"/>
      </w:pPr>
      <w:r>
        <w:t>阅读提示：本版仅采用了可稳定支持报告表述的资料内容。</w:t>
      </w:r>
    </w:p>
  </w:comment>
  <w:comment w:id="4"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《2025年度可持续发展委员会会议纪要.docx》</w:t>
      </w:r>
    </w:p>
    <w:p>
      <w:pPr>
        <w:pStyle w:val="CommentText"/>
      </w:pPr>
      <w:r>
        <w:t>阅读提示：本版仅采用了可稳定支持报告表述的资料内容。</w:t>
      </w:r>
    </w:p>
  </w:comment>
  <w:comment w:id="5"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《可持续发展委员会工作规则.docx》</w:t>
      </w:r>
    </w:p>
    <w:p>
      <w:pPr>
        <w:pStyle w:val="CommentText"/>
      </w:pPr>
      <w:r>
        <w:t>- 《2025年度可持续发展委员会会议纪要.docx》</w:t>
      </w:r>
    </w:p>
    <w:p>
      <w:pPr>
        <w:pStyle w:val="CommentText"/>
      </w:pPr>
      <w:r>
        <w:t>- 《2025年度董事会与治理运作说明.docx》</w:t>
      </w:r>
    </w:p>
    <w:p>
      <w:pPr>
        <w:pStyle w:val="CommentText"/>
      </w:pPr>
      <w:r>
        <w:t>阅读提示：本版仅采用了可稳定支持报告表述的资料内容。</w:t>
      </w:r>
    </w:p>
  </w:comment>
  <w:comment w:id="6"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《可持续发展委员会工作规则.docx》</w:t>
      </w:r>
    </w:p>
    <w:p>
      <w:pPr>
        <w:pStyle w:val="CommentText"/>
      </w:pPr>
      <w:r>
        <w:t>- 《2025年度可持续发展委员会会议纪要.docx》</w:t>
      </w:r>
    </w:p>
    <w:p>
      <w:pPr>
        <w:pStyle w:val="CommentText"/>
      </w:pPr>
      <w:r>
        <w:t>- 《2025年度董事会与治理运作说明.docx》</w:t>
      </w:r>
    </w:p>
    <w:p>
      <w:pPr>
        <w:pStyle w:val="CommentText"/>
      </w:pPr>
      <w:r>
        <w:t>阅读提示：本版仅采用了可稳定支持报告表述的资料内容。</w:t>
      </w:r>
    </w:p>
  </w:comment>
  <w:comment w:id="7"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《可持续发展委员会工作规则.docx》</w:t>
      </w:r>
    </w:p>
    <w:p>
      <w:pPr>
        <w:pStyle w:val="CommentText"/>
      </w:pPr>
      <w:r>
        <w:t>- 《2025年度可持续发展委员会会议纪要.docx》</w:t>
      </w:r>
    </w:p>
    <w:p>
      <w:pPr>
        <w:pStyle w:val="CommentText"/>
      </w:pPr>
      <w:r>
        <w:t>- 《2025年度董事会与治理运作说明.docx》</w:t>
      </w:r>
    </w:p>
    <w:p>
      <w:pPr>
        <w:pStyle w:val="CommentText"/>
      </w:pPr>
      <w:r>
        <w:t>阅读提示：本版仅采用了可稳定支持报告表述的资料内容。</w:t>
      </w:r>
    </w:p>
  </w:comment>
  <w:comment w:id="8" w:author="GreenStone" w:initials="GS" w:date="2026-09-02T11:53:30Z">
    <w:p>
      <w:pPr>
        <w:pStyle w:val="CommentText"/>
      </w:pPr>
      <w:r>
        <w:rPr>
          <w:rStyle w:val="CommentReference"/>
        </w:rPr>
        <w:annotationRef/>
      </w:r>
      <w:r>
        <w:t>本段依据用户提供的以下资料撰写，内容限于资料实际反映的范围：</w:t>
      </w:r>
    </w:p>
    <w:p>
      <w:pPr>
        <w:pStyle w:val="CommentText"/>
      </w:pPr>
      <w:r>
        <w:t>- 《可持续发展委员会工作规则.docx》</w:t>
      </w:r>
    </w:p>
    <w:p>
      <w:pPr>
        <w:pStyle w:val="CommentText"/>
      </w:pPr>
      <w:r>
        <w:t>- 《2025年度可持续发展委员会会议纪要.docx》</w:t>
      </w:r>
    </w:p>
    <w:p>
      <w:pPr>
        <w:pStyle w:val="CommentText"/>
      </w:pPr>
      <w:r>
        <w:t>- 《2025年度董事会与治理运作说明.docx》</w:t>
      </w:r>
    </w:p>
    <w:p>
      <w:pPr>
        <w:pStyle w:val="CommentText"/>
      </w:pPr>
      <w:r>
        <w:t>阅读提示：本版仅采用了可稳定支持报告表述的资料内容。</w:t>
      </w:r>
    </w:p>
  </w:comment>
  <w:comment w:id="9" w:author="GreenStone" w:initials="GS" w:date="2026-09-02T11:53:31Z">
    <w:p>
      <w:pPr>
        <w:pStyle w:val="CommentText"/>
      </w:pPr>
      <w:r>
        <w:rPr>
          <w:rStyle w:val="CommentReference"/>
        </w:rPr>
        <w:annotationRef/>
      </w:r>
      <w:r>
        <w:t>本图由系统根据用户完成的议题重要性评估结果绘制，各议题的位置对应其财务重要性与影响重要性评估得分。</w:t>
      </w:r>
    </w:p>
  </w:comment>
  <w:comment w:id="10" w:author="GreenStone" w:initials="GS" w:date="2026-09-02T11:53:31Z">
    <w:p>
      <w:pPr>
        <w:pStyle w:val="CommentText"/>
      </w:pPr>
      <w:r>
        <w:rPr>
          <w:rStyle w:val="CommentReference"/>
        </w:rPr>
        <w:annotationRef/>
      </w:r>
      <w:r>
        <w:t>本表未引用用户上传的资料，依据用户的基础信息、填写内容与行业通用披露语境撰写。</w:t>
      </w:r>
    </w:p>
  </w:comment>
  <w:comment w:id="11"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《2025年度可持续发展委员会会议纪要.docx》</w:t>
      </w:r>
    </w:p>
    <w:p>
      <w:pPr>
        <w:pStyle w:val="CommentText"/>
      </w:pPr>
      <w:r>
        <w:t>- 《环境管理制度.docx》</w:t>
      </w:r>
    </w:p>
    <w:p>
      <w:pPr>
        <w:pStyle w:val="CommentText"/>
      </w:pPr>
      <w:r>
        <w:t>阅读提示：本版仅采用了可稳定支持报告表述的资料内容。</w:t>
      </w:r>
    </w:p>
  </w:comment>
  <w:comment w:id="12"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《2025年度可持续发展委员会会议纪要.docx》</w:t>
      </w:r>
    </w:p>
    <w:p>
      <w:pPr>
        <w:pStyle w:val="CommentText"/>
      </w:pPr>
      <w:r>
        <w:t>- 《环境管理制度.docx》</w:t>
      </w:r>
    </w:p>
    <w:p>
      <w:pPr>
        <w:pStyle w:val="CommentText"/>
      </w:pPr>
      <w:r>
        <w:t>阅读提示：本版仅采用了可稳定支持报告表述的资料内容。</w:t>
      </w:r>
    </w:p>
  </w:comment>
  <w:comment w:id="13"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《2025年度能源与排放台账.docx》</w:t>
      </w:r>
    </w:p>
    <w:p>
      <w:pPr>
        <w:pStyle w:val="CommentText"/>
      </w:pPr>
      <w:r>
        <w:t>- 《公司简介.docx》</w:t>
      </w:r>
    </w:p>
    <w:p>
      <w:pPr>
        <w:pStyle w:val="CommentText"/>
      </w:pPr>
      <w:r>
        <w:t>- 《能源管理办法.docx》</w:t>
      </w:r>
    </w:p>
    <w:p>
      <w:pPr>
        <w:pStyle w:val="CommentText"/>
      </w:pPr>
      <w:r>
        <w:t>- 《环境管理制度.docx》</w:t>
      </w:r>
    </w:p>
    <w:p>
      <w:pPr>
        <w:pStyle w:val="CommentText"/>
      </w:pPr>
      <w:r>
        <w:t>- 《2025年度可持续发展委员会会议纪要.docx》</w:t>
      </w:r>
    </w:p>
    <w:p>
      <w:pPr>
        <w:pStyle w:val="CommentText"/>
      </w:pPr>
      <w:r>
        <w:t>阅读提示：本版仅采用了可稳定支持报告表述的资料内容。</w:t>
      </w:r>
    </w:p>
  </w:comment>
  <w:comment w:id="14"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《2025年度能源与排放台账.docx》</w:t>
      </w:r>
    </w:p>
    <w:p>
      <w:pPr>
        <w:pStyle w:val="CommentText"/>
      </w:pPr>
      <w:r>
        <w:t>- 《公司简介.docx》</w:t>
      </w:r>
    </w:p>
    <w:p>
      <w:pPr>
        <w:pStyle w:val="CommentText"/>
      </w:pPr>
      <w:r>
        <w:t>- 《能源管理办法.docx》</w:t>
      </w:r>
    </w:p>
    <w:p>
      <w:pPr>
        <w:pStyle w:val="CommentText"/>
      </w:pPr>
      <w:r>
        <w:t>- 《环境管理制度.docx》</w:t>
      </w:r>
    </w:p>
    <w:p>
      <w:pPr>
        <w:pStyle w:val="CommentText"/>
      </w:pPr>
      <w:r>
        <w:t>- 《2025年度可持续发展委员会会议纪要.docx》</w:t>
      </w:r>
    </w:p>
    <w:p>
      <w:pPr>
        <w:pStyle w:val="CommentText"/>
      </w:pPr>
      <w:r>
        <w:t>阅读提示：本版仅采用了可稳定支持报告表述的资料内容。</w:t>
      </w:r>
    </w:p>
  </w:comment>
  <w:comment w:id="15"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《2025年度能源与排放台账.docx》</w:t>
      </w:r>
    </w:p>
    <w:p>
      <w:pPr>
        <w:pStyle w:val="CommentText"/>
      </w:pPr>
      <w:r>
        <w:t>- 《公司简介.docx》</w:t>
      </w:r>
    </w:p>
    <w:p>
      <w:pPr>
        <w:pStyle w:val="CommentText"/>
      </w:pPr>
      <w:r>
        <w:t>- 《能源管理办法.docx》</w:t>
      </w:r>
    </w:p>
    <w:p>
      <w:pPr>
        <w:pStyle w:val="CommentText"/>
      </w:pPr>
      <w:r>
        <w:t>- 《环境管理制度.docx》</w:t>
      </w:r>
    </w:p>
    <w:p>
      <w:pPr>
        <w:pStyle w:val="CommentText"/>
      </w:pPr>
      <w:r>
        <w:t>- 《2025年度可持续发展委员会会议纪要.docx》</w:t>
      </w:r>
    </w:p>
    <w:p>
      <w:pPr>
        <w:pStyle w:val="CommentText"/>
      </w:pPr>
      <w:r>
        <w:t>阅读提示：本版仅采用了可稳定支持报告表述的资料内容。</w:t>
      </w:r>
    </w:p>
  </w:comment>
  <w:comment w:id="16" w:author="GreenStone" w:initials="GS" w:date="2026-09-02T11:53:31Z">
    <w:p>
      <w:pPr>
        <w:pStyle w:val="CommentText"/>
      </w:pPr>
      <w:r>
        <w:rPr>
          <w:rStyle w:val="CommentReference"/>
        </w:rPr>
        <w:annotationRef/>
      </w:r>
      <w:r>
        <w:t>本表未引用用户上传的资料，依据用户的基础信息、填写内容与行业通用披露语境撰写。</w:t>
      </w:r>
    </w:p>
  </w:comment>
  <w:comment w:id="17" w:author="GreenStone" w:initials="GS" w:date="2026-09-02T11:53:31Z">
    <w:p>
      <w:pPr>
        <w:pStyle w:val="CommentText"/>
      </w:pPr>
      <w:r>
        <w:rPr>
          <w:rStyle w:val="CommentReference"/>
        </w:rPr>
        <w:annotationRef/>
      </w:r>
      <w:r>
        <w:t>本表未引用用户上传的资料，依据用户的基础信息、填写内容与行业通用披露语境撰写。</w:t>
      </w:r>
    </w:p>
  </w:comment>
  <w:comment w:id="18" w:author="GreenStone" w:initials="GS" w:date="2026-09-02T11:53:31Z">
    <w:p>
      <w:pPr>
        <w:pStyle w:val="CommentText"/>
      </w:pPr>
      <w:r>
        <w:rPr>
          <w:rStyle w:val="CommentReference"/>
        </w:rPr>
        <w:annotationRef/>
      </w:r>
      <w:r>
        <w:t>本表依据用户提供的以下资料撰写，内容限于资料实际反映的范围：</w:t>
      </w:r>
    </w:p>
    <w:p>
      <w:pPr>
        <w:pStyle w:val="CommentText"/>
      </w:pPr>
      <w:r>
        <w:t>- 《能源管理办法.docx》</w:t>
      </w:r>
    </w:p>
    <w:p>
      <w:pPr>
        <w:pStyle w:val="CommentText"/>
      </w:pPr>
      <w:r>
        <w:t>- 《公司简介.docx》</w:t>
      </w:r>
    </w:p>
    <w:p>
      <w:pPr>
        <w:pStyle w:val="CommentText"/>
      </w:pPr>
      <w:r>
        <w:t>- 《2025年度能源与排放台账.docx》</w:t>
      </w:r>
    </w:p>
    <w:p>
      <w:pPr>
        <w:pStyle w:val="CommentText"/>
      </w:pPr>
      <w:r>
        <w:t>- 《环境管理制度.docx》</w:t>
      </w:r>
    </w:p>
    <w:p>
      <w:pPr>
        <w:pStyle w:val="CommentText"/>
      </w:pPr>
      <w:r>
        <w:t>阅读提示：本版仅采用了可稳定支持报告表述的资料内容。</w:t>
      </w:r>
    </w:p>
  </w:comment>
  <w:comment w:id="19"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《能源管理办法.docx》</w:t>
      </w:r>
    </w:p>
    <w:p>
      <w:pPr>
        <w:pStyle w:val="CommentText"/>
      </w:pPr>
      <w:r>
        <w:t>阅读提示：本版仅采用了可稳定支持报告表述的资料内容。</w:t>
      </w:r>
    </w:p>
  </w:comment>
  <w:comment w:id="20"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《能源管理办法.docx》</w:t>
      </w:r>
    </w:p>
    <w:p>
      <w:pPr>
        <w:pStyle w:val="CommentText"/>
      </w:pPr>
      <w:r>
        <w:t>阅读提示：本版仅采用了可稳定支持报告表述的资料内容。</w:t>
      </w:r>
    </w:p>
  </w:comment>
  <w:comment w:id="21"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《能源管理办法.docx》</w:t>
      </w:r>
    </w:p>
    <w:p>
      <w:pPr>
        <w:pStyle w:val="CommentText"/>
      </w:pPr>
      <w:r>
        <w:t>阅读提示：本版仅采用了可稳定支持报告表述的资料内容。</w:t>
      </w:r>
    </w:p>
  </w:comment>
  <w:comment w:id="22" w:author="GreenStone" w:initials="GS" w:date="2026-09-02T11:53:31Z">
    <w:p>
      <w:pPr>
        <w:pStyle w:val="CommentText"/>
      </w:pPr>
      <w:r>
        <w:rPr>
          <w:rStyle w:val="CommentReference"/>
        </w:rPr>
        <w:annotationRef/>
      </w:r>
      <w:r>
        <w:t>本图由系统根据用户填写的以下定量指标绘制，数值与填写值一致：</w:t>
      </w:r>
    </w:p>
    <w:p>
      <w:pPr>
        <w:pStyle w:val="CommentText"/>
      </w:pPr>
      <w:r>
        <w:t>- 范围一：温室气体排放总量：12800吨二氧化碳当量</w:t>
      </w:r>
    </w:p>
    <w:p>
      <w:pPr>
        <w:pStyle w:val="CommentText"/>
      </w:pPr>
      <w:r>
        <w:t>- 范围二：温室气体排放总量：26400吨二氧化碳当量</w:t>
      </w:r>
    </w:p>
    <w:p>
      <w:pPr>
        <w:pStyle w:val="CommentText"/>
      </w:pPr>
      <w:r>
        <w:t>- 温室气体排放总量（范围一+范围二）：39200吨二氧化碳当量</w:t>
      </w:r>
    </w:p>
  </w:comment>
  <w:comment w:id="23"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《2025年度可持续发展委员会会议纪要.docx》</w:t>
      </w:r>
    </w:p>
    <w:p>
      <w:pPr>
        <w:pStyle w:val="CommentText"/>
      </w:pPr>
      <w:r>
        <w:t>- 《2025年度废弃物与水资源台账.docx》</w:t>
      </w:r>
    </w:p>
    <w:p>
      <w:pPr>
        <w:pStyle w:val="CommentText"/>
      </w:pPr>
      <w:r>
        <w:t>- 《公司简介.docx》</w:t>
      </w:r>
    </w:p>
    <w:p>
      <w:pPr>
        <w:pStyle w:val="CommentText"/>
      </w:pPr>
      <w:r>
        <w:t>阅读提示：本版仅采用了可稳定支持报告表述的资料内容。</w:t>
      </w:r>
    </w:p>
  </w:comment>
  <w:comment w:id="24"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《2025年度可持续发展委员会会议纪要.docx》</w:t>
      </w:r>
    </w:p>
    <w:p>
      <w:pPr>
        <w:pStyle w:val="CommentText"/>
      </w:pPr>
      <w:r>
        <w:t>- 《2025年度废弃物与水资源台账.docx》</w:t>
      </w:r>
    </w:p>
    <w:p>
      <w:pPr>
        <w:pStyle w:val="CommentText"/>
      </w:pPr>
      <w:r>
        <w:t>- 《公司简介.docx》</w:t>
      </w:r>
    </w:p>
    <w:p>
      <w:pPr>
        <w:pStyle w:val="CommentText"/>
      </w:pPr>
      <w:r>
        <w:t>阅读提示：本版仅采用了可稳定支持报告表述的资料内容。</w:t>
      </w:r>
    </w:p>
  </w:comment>
  <w:comment w:id="25"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《2025年度可持续发展委员会会议纪要.docx》</w:t>
      </w:r>
    </w:p>
    <w:p>
      <w:pPr>
        <w:pStyle w:val="CommentText"/>
      </w:pPr>
      <w:r>
        <w:t>- 《2025年度废弃物与水资源台账.docx》</w:t>
      </w:r>
    </w:p>
    <w:p>
      <w:pPr>
        <w:pStyle w:val="CommentText"/>
      </w:pPr>
      <w:r>
        <w:t>- 《公司简介.docx》</w:t>
      </w:r>
    </w:p>
    <w:p>
      <w:pPr>
        <w:pStyle w:val="CommentText"/>
      </w:pPr>
      <w:r>
        <w:t>阅读提示：本版仅采用了可稳定支持报告表述的资料内容。</w:t>
      </w:r>
    </w:p>
  </w:comment>
  <w:comment w:id="26"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《2025年度可持续发展委员会会议纪要.docx》</w:t>
      </w:r>
    </w:p>
    <w:p>
      <w:pPr>
        <w:pStyle w:val="CommentText"/>
      </w:pPr>
      <w:r>
        <w:t>- 《固体废弃物管理规程.docx》</w:t>
      </w:r>
    </w:p>
    <w:p>
      <w:pPr>
        <w:pStyle w:val="CommentText"/>
      </w:pPr>
      <w:r>
        <w:t>- 《环境管理制度.docx》</w:t>
      </w:r>
    </w:p>
    <w:p>
      <w:pPr>
        <w:pStyle w:val="CommentText"/>
      </w:pPr>
      <w:r>
        <w:t>阅读提示：本版仅采用了可稳定支持报告表述的资料内容。</w:t>
      </w:r>
    </w:p>
  </w:comment>
  <w:comment w:id="27"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《2025年度可持续发展委员会会议纪要.docx》</w:t>
      </w:r>
    </w:p>
    <w:p>
      <w:pPr>
        <w:pStyle w:val="CommentText"/>
      </w:pPr>
      <w:r>
        <w:t>- 《固体废弃物管理规程.docx》</w:t>
      </w:r>
    </w:p>
    <w:p>
      <w:pPr>
        <w:pStyle w:val="CommentText"/>
      </w:pPr>
      <w:r>
        <w:t>- 《环境管理制度.docx》</w:t>
      </w:r>
    </w:p>
    <w:p>
      <w:pPr>
        <w:pStyle w:val="CommentText"/>
      </w:pPr>
      <w:r>
        <w:t>阅读提示：本版仅采用了可稳定支持报告表述的资料内容。</w:t>
      </w:r>
    </w:p>
  </w:comment>
  <w:comment w:id="28"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《固体废弃物管理规程.docx》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29"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《固体废弃物管理规程.docx》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30"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《固体废弃物管理规程.docx》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31"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《2025年度能源与排放台账.docx》</w:t>
      </w:r>
    </w:p>
    <w:p>
      <w:pPr>
        <w:pStyle w:val="CommentText"/>
      </w:pPr>
      <w:r>
        <w:t>- 《环境管理制度.docx》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32"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《2025年度能源与排放台账.docx》</w:t>
      </w:r>
    </w:p>
    <w:p>
      <w:pPr>
        <w:pStyle w:val="CommentText"/>
      </w:pPr>
      <w:r>
        <w:t>- 《2025年度废弃物与水资源台账.docx》</w:t>
      </w:r>
    </w:p>
    <w:p>
      <w:pPr>
        <w:pStyle w:val="CommentText"/>
      </w:pPr>
      <w:r>
        <w:t>- 《环境管理制度.docx》</w:t>
      </w:r>
    </w:p>
    <w:p>
      <w:pPr>
        <w:pStyle w:val="CommentText"/>
      </w:pPr>
      <w:r>
        <w:t>- 《固体废弃物管理规程.docx》</w:t>
      </w:r>
    </w:p>
    <w:p>
      <w:pPr>
        <w:pStyle w:val="CommentText"/>
      </w:pPr>
      <w:r>
        <w:t>阅读提示：本版仅采用了可稳定支持报告表述的资料内容。</w:t>
      </w:r>
    </w:p>
  </w:comment>
  <w:comment w:id="33"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《2025年度废弃物与水资源台账.docx》</w:t>
      </w:r>
    </w:p>
    <w:p>
      <w:pPr>
        <w:pStyle w:val="CommentText"/>
      </w:pPr>
      <w:r>
        <w:t>阅读提示：本版仅采用了可稳定支持报告表述的资料内容。</w:t>
      </w:r>
    </w:p>
  </w:comment>
  <w:comment w:id="34"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《2025年度废弃物与水资源台账.docx》</w:t>
      </w:r>
    </w:p>
    <w:p>
      <w:pPr>
        <w:pStyle w:val="CommentText"/>
      </w:pPr>
      <w:r>
        <w:t>阅读提示：本版仅采用了可稳定支持报告表述的资料内容。</w:t>
      </w:r>
    </w:p>
  </w:comment>
  <w:comment w:id="35"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《2025年度废弃物与水资源台账.docx》</w:t>
      </w:r>
    </w:p>
    <w:p>
      <w:pPr>
        <w:pStyle w:val="CommentText"/>
      </w:pPr>
      <w:r>
        <w:t>阅读提示：本版仅采用了可稳定支持报告表述的资料内容。</w:t>
      </w:r>
    </w:p>
  </w:comment>
  <w:comment w:id="36" w:author="GreenStone" w:initials="GS" w:date="2026-09-02T11:53:31Z">
    <w:p>
      <w:pPr>
        <w:pStyle w:val="CommentText"/>
      </w:pPr>
      <w:r>
        <w:rPr>
          <w:rStyle w:val="CommentReference"/>
        </w:rPr>
        <w:annotationRef/>
      </w:r>
      <w:r>
        <w:t>本表依据用户提供的以下资料撰写，内容限于资料实际反映的范围：</w:t>
      </w:r>
    </w:p>
    <w:p>
      <w:pPr>
        <w:pStyle w:val="CommentText"/>
      </w:pPr>
      <w:r>
        <w:t>- 《环境管理制度.docx》</w:t>
      </w:r>
    </w:p>
    <w:p>
      <w:pPr>
        <w:pStyle w:val="CommentText"/>
      </w:pPr>
      <w:r>
        <w:t>- 《2025年度废弃物与水资源台账.docx》</w:t>
      </w:r>
    </w:p>
    <w:p>
      <w:pPr>
        <w:pStyle w:val="CommentText"/>
      </w:pPr>
      <w:r>
        <w:t>阅读提示：本版仅采用了可稳定支持报告表述的资料内容。</w:t>
      </w:r>
    </w:p>
  </w:comment>
  <w:comment w:id="37"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38"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39"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《环境管理制度.docx》</w:t>
      </w:r>
    </w:p>
    <w:p>
      <w:pPr>
        <w:pStyle w:val="CommentText"/>
      </w:pPr>
      <w:r>
        <w:t>- 《利益相关方沟通记录.docx》</w:t>
      </w:r>
    </w:p>
    <w:p>
      <w:pPr>
        <w:pStyle w:val="CommentText"/>
      </w:pPr>
      <w:r>
        <w:t>- 《2025年度废弃物与水资源台账.docx》</w:t>
      </w:r>
    </w:p>
    <w:p>
      <w:pPr>
        <w:pStyle w:val="CommentText"/>
      </w:pPr>
      <w:r>
        <w:t>阅读提示：本版仅采用了可稳定支持报告表述的资料内容。</w:t>
      </w:r>
    </w:p>
  </w:comment>
  <w:comment w:id="40" w:author="GreenStone" w:initials="GS" w:date="2026-09-02T11:53:31Z">
    <w:p>
      <w:pPr>
        <w:pStyle w:val="CommentText"/>
      </w:pPr>
      <w:r>
        <w:rPr>
          <w:rStyle w:val="CommentReference"/>
        </w:rPr>
        <w:annotationRef/>
      </w:r>
      <w:r>
        <w:t>本图由系统根据用户填写的以下定量指标绘制，数值与填写值一致：</w:t>
      </w:r>
    </w:p>
    <w:p>
      <w:pPr>
        <w:pStyle w:val="CommentText"/>
      </w:pPr>
      <w:r>
        <w:t>- 挥发性有机化合物（VOC）：1.6吨</w:t>
      </w:r>
    </w:p>
    <w:p>
      <w:pPr>
        <w:pStyle w:val="CommentText"/>
      </w:pPr>
      <w:r>
        <w:t>- 工业废水总量：8600吨</w:t>
      </w:r>
    </w:p>
  </w:comment>
  <w:comment w:id="41"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《固体废弃物管理规程.docx》</w:t>
      </w:r>
    </w:p>
    <w:p>
      <w:pPr>
        <w:pStyle w:val="CommentText"/>
      </w:pPr>
      <w:r>
        <w:t>- 《边角料回收与资源化利用规程.docx》</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42" w:author="GreenStone" w:initials="GS" w:date="2026-09-02T11:53:31Z">
    <w:p>
      <w:pPr>
        <w:pStyle w:val="CommentText"/>
      </w:pPr>
      <w:r>
        <w:rPr>
          <w:rStyle w:val="CommentReference"/>
        </w:rPr>
        <w:annotationRef/>
      </w:r>
      <w:r>
        <w:t>本段依据用户提供的以下资料撰写，内容限于资料实际反映的范围：</w:t>
      </w:r>
    </w:p>
    <w:p>
      <w:pPr>
        <w:pStyle w:val="CommentText"/>
      </w:pPr>
      <w:r>
        <w:t>- 《固体废弃物管理规程.docx》</w:t>
      </w:r>
    </w:p>
    <w:p>
      <w:pPr>
        <w:pStyle w:val="CommentText"/>
      </w:pPr>
      <w:r>
        <w:t>- 《边角料回收与资源化利用规程.docx》</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4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《固体废弃物管理规程.docx》</w:t>
      </w:r>
    </w:p>
    <w:p>
      <w:pPr>
        <w:pStyle w:val="CommentText"/>
      </w:pPr>
      <w:r>
        <w:t>- 《边角料回收与资源化利用规程.docx》</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4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 《固体废弃物管理规程.docx》</w:t>
      </w:r>
    </w:p>
    <w:p>
      <w:pPr>
        <w:pStyle w:val="CommentText"/>
      </w:pPr>
      <w:r>
        <w:t>- 《边角料回收与资源化利用规程.docx》</w:t>
      </w:r>
    </w:p>
    <w:p>
      <w:pPr>
        <w:pStyle w:val="CommentText"/>
      </w:pPr>
      <w:r>
        <w:t>阅读提示：本版仅采用了可稳定支持报告表述的资料内容。</w:t>
      </w:r>
    </w:p>
  </w:comment>
  <w:comment w:id="4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 《固体废弃物管理规程.docx》</w:t>
      </w:r>
    </w:p>
    <w:p>
      <w:pPr>
        <w:pStyle w:val="CommentText"/>
      </w:pPr>
      <w:r>
        <w:t>- 《边角料回收与资源化利用规程.docx》</w:t>
      </w:r>
    </w:p>
    <w:p>
      <w:pPr>
        <w:pStyle w:val="CommentText"/>
      </w:pPr>
      <w:r>
        <w:t>阅读提示：本版仅采用了可稳定支持报告表述的资料内容。</w:t>
      </w:r>
    </w:p>
  </w:comment>
  <w:comment w:id="4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 《固体废弃物管理规程.docx》</w:t>
      </w:r>
    </w:p>
    <w:p>
      <w:pPr>
        <w:pStyle w:val="CommentText"/>
      </w:pPr>
      <w:r>
        <w:t>- 《边角料回收与资源化利用规程.docx》</w:t>
      </w:r>
    </w:p>
    <w:p>
      <w:pPr>
        <w:pStyle w:val="CommentText"/>
      </w:pPr>
      <w:r>
        <w:t>阅读提示：本版仅采用了可稳定支持报告表述的资料内容。</w:t>
      </w:r>
    </w:p>
  </w:comment>
  <w:comment w:id="4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4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4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5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《2025年度可持续发展委员会会议纪要.docx》</w:t>
      </w:r>
    </w:p>
    <w:p>
      <w:pPr>
        <w:pStyle w:val="CommentText"/>
      </w:pPr>
      <w:r>
        <w:t>阅读提示：本版仅采用了可稳定支持报告表述的资料内容。</w:t>
      </w:r>
    </w:p>
  </w:comment>
  <w:comment w:id="51"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废弃物总量：42.6吨</w:t>
      </w:r>
    </w:p>
    <w:p>
      <w:pPr>
        <w:pStyle w:val="CommentText"/>
      </w:pPr>
      <w:r>
        <w:t>- 无害废弃物：39.4吨</w:t>
      </w:r>
    </w:p>
    <w:p>
      <w:pPr>
        <w:pStyle w:val="CommentText"/>
      </w:pPr>
      <w:r>
        <w:t>- 有害废弃物：3.2吨</w:t>
      </w:r>
    </w:p>
    <w:p>
      <w:pPr>
        <w:pStyle w:val="CommentText"/>
      </w:pPr>
      <w:r>
        <w:t>- 废弃物回收再利用总量：18.0吨</w:t>
      </w:r>
    </w:p>
  </w:comment>
  <w:comment w:id="5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《边角料回收与资源化利用规程.docx》</w:t>
      </w:r>
    </w:p>
    <w:p>
      <w:pPr>
        <w:pStyle w:val="CommentText"/>
      </w:pPr>
      <w:r>
        <w:t>- 《固体废弃物管理规程.docx》</w:t>
      </w:r>
    </w:p>
    <w:p>
      <w:pPr>
        <w:pStyle w:val="CommentText"/>
      </w:pPr>
      <w:r>
        <w:t>- 《环境管理制度.docx》</w:t>
      </w:r>
    </w:p>
    <w:p>
      <w:pPr>
        <w:pStyle w:val="CommentText"/>
      </w:pPr>
      <w:r>
        <w:t>阅读提示：本版仅采用了可稳定支持报告表述的资料内容。</w:t>
      </w:r>
    </w:p>
  </w:comment>
  <w:comment w:id="5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《边角料回收与资源化利用规程.docx》</w:t>
      </w:r>
    </w:p>
    <w:p>
      <w:pPr>
        <w:pStyle w:val="CommentText"/>
      </w:pPr>
      <w:r>
        <w:t>- 《环境管理制度.docx》</w:t>
      </w:r>
    </w:p>
    <w:p>
      <w:pPr>
        <w:pStyle w:val="CommentText"/>
      </w:pPr>
      <w:r>
        <w:t>阅读提示：本版仅采用了可稳定支持报告表述的资料内容。</w:t>
      </w:r>
    </w:p>
  </w:comment>
  <w:comment w:id="5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《边角料回收与资源化利用规程.docx》</w:t>
      </w:r>
    </w:p>
    <w:p>
      <w:pPr>
        <w:pStyle w:val="CommentText"/>
      </w:pPr>
      <w:r>
        <w:t>- 《环境管理制度.docx》</w:t>
      </w:r>
    </w:p>
    <w:p>
      <w:pPr>
        <w:pStyle w:val="CommentText"/>
      </w:pPr>
      <w:r>
        <w:t>阅读提示：本版仅采用了可稳定支持报告表述的资料内容。</w:t>
      </w:r>
    </w:p>
  </w:comment>
  <w:comment w:id="5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5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《固体废弃物管理规程.docx》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5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《边角料回收与资源化利用规程.docx》</w:t>
      </w:r>
    </w:p>
    <w:p>
      <w:pPr>
        <w:pStyle w:val="CommentText"/>
      </w:pPr>
      <w:r>
        <w:t>- 《2025年度可持续发展委员会会议纪要.docx》</w:t>
      </w:r>
    </w:p>
    <w:p>
      <w:pPr>
        <w:pStyle w:val="CommentText"/>
      </w:pPr>
      <w:r>
        <w:t>阅读提示：本版仅采用了可稳定支持报告表述的资料内容。</w:t>
      </w:r>
    </w:p>
  </w:comment>
  <w:comment w:id="5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《能源管理办法.docx》</w:t>
      </w:r>
    </w:p>
    <w:p>
      <w:pPr>
        <w:pStyle w:val="CommentText"/>
      </w:pPr>
      <w:r>
        <w:t>- 《2025年度可持续发展委员会会议纪要.docx》</w:t>
      </w:r>
    </w:p>
    <w:p>
      <w:pPr>
        <w:pStyle w:val="CommentText"/>
      </w:pPr>
      <w:r>
        <w:t>- 《环境管理制度.docx》</w:t>
      </w:r>
    </w:p>
    <w:p>
      <w:pPr>
        <w:pStyle w:val="CommentText"/>
      </w:pPr>
      <w:r>
        <w:t>阅读提示：本版仅采用了可稳定支持报告表述的资料内容。</w:t>
      </w:r>
    </w:p>
  </w:comment>
  <w:comment w:id="5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《能源管理办法.docx》</w:t>
      </w:r>
    </w:p>
    <w:p>
      <w:pPr>
        <w:pStyle w:val="CommentText"/>
      </w:pPr>
      <w:r>
        <w:t>- 《2025年度可持续发展委员会会议纪要.docx》</w:t>
      </w:r>
    </w:p>
    <w:p>
      <w:pPr>
        <w:pStyle w:val="CommentText"/>
      </w:pPr>
      <w:r>
        <w:t>- 《环境管理制度.docx》</w:t>
      </w:r>
    </w:p>
    <w:p>
      <w:pPr>
        <w:pStyle w:val="CommentText"/>
      </w:pPr>
      <w:r>
        <w:t>阅读提示：本版仅采用了可稳定支持报告表述的资料内容。</w:t>
      </w:r>
    </w:p>
  </w:comment>
  <w:comment w:id="60" w:author="GreenStone" w:initials="GS" w:date="2026-09-02T11:53:32Z">
    <w:p>
      <w:pPr>
        <w:pStyle w:val="CommentText"/>
      </w:pPr>
      <w:r>
        <w:rPr>
          <w:rStyle w:val="CommentReference"/>
        </w:rPr>
        <w:annotationRef/>
      </w:r>
      <w:r>
        <w:t>本表依据用户提供的以下资料撰写，内容限于资料实际反映的范围：</w:t>
      </w:r>
    </w:p>
    <w:p>
      <w:pPr>
        <w:pStyle w:val="CommentText"/>
      </w:pPr>
      <w:r>
        <w:t>- 《能源管理办法.docx》</w:t>
      </w:r>
    </w:p>
    <w:p>
      <w:pPr>
        <w:pStyle w:val="CommentText"/>
      </w:pPr>
      <w:r>
        <w:t>- 《2025年度可持续发展委员会会议纪要.docx》</w:t>
      </w:r>
    </w:p>
    <w:p>
      <w:pPr>
        <w:pStyle w:val="CommentText"/>
      </w:pPr>
      <w:r>
        <w:t>- 《2025年度能源与排放台账.docx》</w:t>
      </w:r>
    </w:p>
    <w:p>
      <w:pPr>
        <w:pStyle w:val="CommentText"/>
      </w:pPr>
      <w:r>
        <w:t>阅读提示：本版仅采用了可稳定支持报告表述的资料内容。</w:t>
      </w:r>
    </w:p>
  </w:comment>
  <w:comment w:id="6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《能源管理办法.docx》</w:t>
      </w:r>
    </w:p>
    <w:p>
      <w:pPr>
        <w:pStyle w:val="CommentText"/>
      </w:pPr>
      <w:r>
        <w:t>- 《2025年度能源与排放台账.docx》</w:t>
      </w:r>
    </w:p>
    <w:p>
      <w:pPr>
        <w:pStyle w:val="CommentText"/>
      </w:pPr>
      <w:r>
        <w:t>- 《2025年度经营情况说明.docx》</w:t>
      </w:r>
    </w:p>
    <w:p>
      <w:pPr>
        <w:pStyle w:val="CommentText"/>
      </w:pPr>
      <w:r>
        <w:t>- 《环境管理制度.docx》</w:t>
      </w:r>
    </w:p>
    <w:p>
      <w:pPr>
        <w:pStyle w:val="CommentText"/>
      </w:pPr>
      <w:r>
        <w:t>阅读提示：本版仅采用了可稳定支持报告表述的资料内容。</w:t>
      </w:r>
    </w:p>
  </w:comment>
  <w:comment w:id="6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《能源管理办法.docx》</w:t>
      </w:r>
    </w:p>
    <w:p>
      <w:pPr>
        <w:pStyle w:val="CommentText"/>
      </w:pPr>
      <w:r>
        <w:t>- 《2025年度能源与排放台账.docx》</w:t>
      </w:r>
    </w:p>
    <w:p>
      <w:pPr>
        <w:pStyle w:val="CommentText"/>
      </w:pPr>
      <w:r>
        <w:t>- 《2025年度经营情况说明.docx》</w:t>
      </w:r>
    </w:p>
    <w:p>
      <w:pPr>
        <w:pStyle w:val="CommentText"/>
      </w:pPr>
      <w:r>
        <w:t>- 《环境管理制度.docx》</w:t>
      </w:r>
    </w:p>
    <w:p>
      <w:pPr>
        <w:pStyle w:val="CommentText"/>
      </w:pPr>
      <w:r>
        <w:t>阅读提示：本版仅采用了可稳定支持报告表述的资料内容。</w:t>
      </w:r>
    </w:p>
  </w:comment>
  <w:comment w:id="6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《能源管理办法.docx》</w:t>
      </w:r>
    </w:p>
    <w:p>
      <w:pPr>
        <w:pStyle w:val="CommentText"/>
      </w:pPr>
      <w:r>
        <w:t>- 《2025年度能源与排放台账.docx》</w:t>
      </w:r>
    </w:p>
    <w:p>
      <w:pPr>
        <w:pStyle w:val="CommentText"/>
      </w:pPr>
      <w:r>
        <w:t>- 《2025年度经营情况说明.docx》</w:t>
      </w:r>
    </w:p>
    <w:p>
      <w:pPr>
        <w:pStyle w:val="CommentText"/>
      </w:pPr>
      <w:r>
        <w:t>- 《环境管理制度.docx》</w:t>
      </w:r>
    </w:p>
    <w:p>
      <w:pPr>
        <w:pStyle w:val="CommentText"/>
      </w:pPr>
      <w:r>
        <w:t>阅读提示：本版仅采用了可稳定支持报告表述的资料内容。</w:t>
      </w:r>
    </w:p>
  </w:comment>
  <w:comment w:id="64"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电力消耗量：12100吨标准煤</w:t>
      </w:r>
    </w:p>
    <w:p>
      <w:pPr>
        <w:pStyle w:val="CommentText"/>
      </w:pPr>
      <w:r>
        <w:t>- 传统能源消耗量：其他：6500吨标准煤</w:t>
      </w:r>
    </w:p>
    <w:p>
      <w:pPr>
        <w:pStyle w:val="CommentText"/>
      </w:pPr>
      <w:r>
        <w:t>- 太阳能消耗量：1200吨标准煤</w:t>
      </w:r>
    </w:p>
  </w:comment>
  <w:comment w:id="6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6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6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阅读提示：本版仅采用了可稳定支持报告表述的资料内容。</w:t>
      </w:r>
    </w:p>
  </w:comment>
  <w:comment w:id="6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 《2025年度经营情况说明.docx》</w:t>
      </w:r>
    </w:p>
    <w:p>
      <w:pPr>
        <w:pStyle w:val="CommentText"/>
      </w:pPr>
      <w:r>
        <w:t>阅读提示：本版仅采用了可稳定支持报告表述的资料内容。</w:t>
      </w:r>
    </w:p>
  </w:comment>
  <w:comment w:id="6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《2025年度废弃物与水资源台账.docx》</w:t>
      </w:r>
    </w:p>
    <w:p>
      <w:pPr>
        <w:pStyle w:val="CommentText"/>
      </w:pPr>
      <w:r>
        <w:t>- 《环境管理制度.docx》</w:t>
      </w:r>
    </w:p>
    <w:p>
      <w:pPr>
        <w:pStyle w:val="CommentText"/>
      </w:pPr>
      <w:r>
        <w:t>- 《2025年度经营情况说明.docx》</w:t>
      </w:r>
    </w:p>
    <w:p>
      <w:pPr>
        <w:pStyle w:val="CommentText"/>
      </w:pPr>
      <w:r>
        <w:t>阅读提示：本版仅采用了可稳定支持报告表述的资料内容。</w:t>
      </w:r>
    </w:p>
  </w:comment>
  <w:comment w:id="70"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所有地区取水总量：12500吨</w:t>
      </w:r>
    </w:p>
  </w:comment>
  <w:comment w:id="71"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72"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73"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74"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7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7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7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7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《2025年度安全培训记录.docx》</w:t>
      </w:r>
    </w:p>
    <w:p>
      <w:pPr>
        <w:pStyle w:val="CommentText"/>
      </w:pPr>
      <w:r>
        <w:t>- 《2025年度人力资源统计表.docx》</w:t>
      </w:r>
    </w:p>
    <w:p>
      <w:pPr>
        <w:pStyle w:val="CommentText"/>
      </w:pPr>
      <w:r>
        <w:t>- 《2025年度可持续发展委员会会议纪要.docx》</w:t>
      </w:r>
    </w:p>
    <w:p>
      <w:pPr>
        <w:pStyle w:val="CommentText"/>
      </w:pPr>
      <w:r>
        <w:t>- 《2025年度经营情况说明.docx》</w:t>
      </w:r>
    </w:p>
    <w:p>
      <w:pPr>
        <w:pStyle w:val="CommentText"/>
      </w:pPr>
      <w:r>
        <w:t>阅读提示：本版仅采用了可稳定支持报告表述的资料内容。</w:t>
      </w:r>
    </w:p>
  </w:comment>
  <w:comment w:id="7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《2025年度安全培训记录.docx》</w:t>
      </w:r>
    </w:p>
    <w:p>
      <w:pPr>
        <w:pStyle w:val="CommentText"/>
      </w:pPr>
      <w:r>
        <w:t>- 《2025年度人力资源统计表.docx》</w:t>
      </w:r>
    </w:p>
    <w:p>
      <w:pPr>
        <w:pStyle w:val="CommentText"/>
      </w:pPr>
      <w:r>
        <w:t>- 《2025年度可持续发展委员会会议纪要.docx》</w:t>
      </w:r>
    </w:p>
    <w:p>
      <w:pPr>
        <w:pStyle w:val="CommentText"/>
      </w:pPr>
      <w:r>
        <w:t>- 《2025年度经营情况说明.docx》</w:t>
      </w:r>
    </w:p>
    <w:p>
      <w:pPr>
        <w:pStyle w:val="CommentText"/>
      </w:pPr>
      <w:r>
        <w:t>阅读提示：本版仅采用了可稳定支持报告表述的资料内容。</w:t>
      </w:r>
    </w:p>
  </w:comment>
  <w:comment w:id="8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《2025年度经营情况说明.docx》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8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《2025年度经营情况说明.docx》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8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《员工手册.docx》</w:t>
      </w:r>
    </w:p>
    <w:p>
      <w:pPr>
        <w:pStyle w:val="CommentText"/>
      </w:pPr>
      <w:r>
        <w:t>- 《2025年度人力资源统计表.docx》</w:t>
      </w:r>
    </w:p>
    <w:p>
      <w:pPr>
        <w:pStyle w:val="CommentText"/>
      </w:pPr>
      <w:r>
        <w:t>- 《2025年度经营情况说明.docx》</w:t>
      </w:r>
    </w:p>
    <w:p>
      <w:pPr>
        <w:pStyle w:val="CommentText"/>
      </w:pPr>
      <w:r>
        <w:t>- 《利益相关方沟通记录.docx》</w:t>
      </w:r>
    </w:p>
    <w:p>
      <w:pPr>
        <w:pStyle w:val="CommentText"/>
      </w:pPr>
      <w:r>
        <w:t>- 《2025年度安全培训记录.docx》</w:t>
      </w:r>
    </w:p>
    <w:p>
      <w:pPr>
        <w:pStyle w:val="CommentText"/>
      </w:pPr>
      <w:r>
        <w:t>阅读提示：本版仅采用了可稳定支持报告表述的资料内容。</w:t>
      </w:r>
    </w:p>
  </w:comment>
  <w:comment w:id="83"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员工总数：860人</w:t>
      </w:r>
    </w:p>
    <w:p>
      <w:pPr>
        <w:pStyle w:val="CommentText"/>
      </w:pPr>
      <w:r>
        <w:t>- 男性员工：520人</w:t>
      </w:r>
    </w:p>
    <w:p>
      <w:pPr>
        <w:pStyle w:val="CommentText"/>
      </w:pPr>
      <w:r>
        <w:t>- 女性员工：340人</w:t>
      </w:r>
    </w:p>
    <w:p>
      <w:pPr>
        <w:pStyle w:val="CommentText"/>
      </w:pPr>
      <w:r>
        <w:t>- 博士：2人</w:t>
      </w:r>
    </w:p>
    <w:p>
      <w:pPr>
        <w:pStyle w:val="CommentText"/>
      </w:pPr>
      <w:r>
        <w:t>- 硕士：48人</w:t>
      </w:r>
    </w:p>
    <w:p>
      <w:pPr>
        <w:pStyle w:val="CommentText"/>
      </w:pPr>
      <w:r>
        <w:t>- 本科：310人</w:t>
      </w:r>
    </w:p>
    <w:p>
      <w:pPr>
        <w:pStyle w:val="CommentText"/>
      </w:pPr>
      <w:r>
        <w:t>- 本科以下学历：500人</w:t>
      </w:r>
    </w:p>
    <w:p>
      <w:pPr>
        <w:pStyle w:val="CommentText"/>
      </w:pPr>
      <w:r>
        <w:t>- 员工流失率：8.5%</w:t>
      </w:r>
    </w:p>
    <w:p>
      <w:pPr>
        <w:pStyle w:val="CommentText"/>
      </w:pPr>
      <w:r>
        <w:t>- 全年培训投入金额：86万元人民币</w:t>
      </w:r>
    </w:p>
    <w:p>
      <w:pPr>
        <w:pStyle w:val="CommentText"/>
      </w:pPr>
      <w:r>
        <w:t>- 员工培训覆盖率：12%</w:t>
      </w:r>
    </w:p>
  </w:comment>
  <w:comment w:id="8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《公司简介.docx》</w:t>
      </w:r>
    </w:p>
    <w:p>
      <w:pPr>
        <w:pStyle w:val="CommentText"/>
      </w:pPr>
      <w:r>
        <w:t>- 《员工手册.docx》</w:t>
      </w:r>
    </w:p>
    <w:p>
      <w:pPr>
        <w:pStyle w:val="CommentText"/>
      </w:pPr>
      <w:r>
        <w:t>阅读提示：本版仅采用了可稳定支持报告表述的资料内容。</w:t>
      </w:r>
    </w:p>
  </w:comment>
  <w:comment w:id="8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《公司简介.docx》</w:t>
      </w:r>
    </w:p>
    <w:p>
      <w:pPr>
        <w:pStyle w:val="CommentText"/>
      </w:pPr>
      <w:r>
        <w:t>- 《员工手册.docx》</w:t>
      </w:r>
    </w:p>
    <w:p>
      <w:pPr>
        <w:pStyle w:val="CommentText"/>
      </w:pPr>
      <w:r>
        <w:t>阅读提示：本版仅采用了可稳定支持报告表述的资料内容。</w:t>
      </w:r>
    </w:p>
  </w:comment>
  <w:comment w:id="8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《公司简介.docx》</w:t>
      </w:r>
    </w:p>
    <w:p>
      <w:pPr>
        <w:pStyle w:val="CommentText"/>
      </w:pPr>
      <w:r>
        <w:t>- 《员工手册.docx》</w:t>
      </w:r>
    </w:p>
    <w:p>
      <w:pPr>
        <w:pStyle w:val="CommentText"/>
      </w:pPr>
      <w:r>
        <w:t>阅读提示：本版仅采用了可稳定支持报告表述的资料内容。</w:t>
      </w:r>
    </w:p>
  </w:comment>
  <w:comment w:id="8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《2025年度安全培训记录.docx》</w:t>
      </w:r>
    </w:p>
    <w:p>
      <w:pPr>
        <w:pStyle w:val="CommentText"/>
      </w:pPr>
      <w:r>
        <w:t>- 《公司简介.docx》</w:t>
      </w:r>
    </w:p>
    <w:p>
      <w:pPr>
        <w:pStyle w:val="CommentText"/>
      </w:pPr>
      <w:r>
        <w:t>阅读提示：本版仅采用了可稳定支持报告表述的资料内容。</w:t>
      </w:r>
    </w:p>
  </w:comment>
  <w:comment w:id="8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《2025年度安全培训记录.docx》</w:t>
      </w:r>
    </w:p>
    <w:p>
      <w:pPr>
        <w:pStyle w:val="CommentText"/>
      </w:pPr>
      <w:r>
        <w:t>- 《2025年度人力资源统计表.docx》</w:t>
      </w:r>
    </w:p>
    <w:p>
      <w:pPr>
        <w:pStyle w:val="CommentText"/>
      </w:pPr>
      <w:r>
        <w:t>- 《员工手册.docx》</w:t>
      </w:r>
    </w:p>
    <w:p>
      <w:pPr>
        <w:pStyle w:val="CommentText"/>
      </w:pPr>
      <w:r>
        <w:t>阅读提示：本版仅采用了可稳定支持报告表述的资料内容。</w:t>
      </w:r>
    </w:p>
  </w:comment>
  <w:comment w:id="8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《2025年度安全培训记录.docx》</w:t>
      </w:r>
    </w:p>
    <w:p>
      <w:pPr>
        <w:pStyle w:val="CommentText"/>
      </w:pPr>
      <w:r>
        <w:t>- 《2025年度人力资源统计表.docx》</w:t>
      </w:r>
    </w:p>
    <w:p>
      <w:pPr>
        <w:pStyle w:val="CommentText"/>
      </w:pPr>
      <w:r>
        <w:t>- 《员工手册.docx》</w:t>
      </w:r>
    </w:p>
    <w:p>
      <w:pPr>
        <w:pStyle w:val="CommentText"/>
      </w:pPr>
      <w:r>
        <w:t>阅读提示：本版仅采用了可稳定支持报告表述的资料内容。</w:t>
      </w:r>
    </w:p>
  </w:comment>
  <w:comment w:id="9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《职业健康安全管理制度.docx》</w:t>
      </w:r>
    </w:p>
    <w:p>
      <w:pPr>
        <w:pStyle w:val="CommentText"/>
      </w:pPr>
      <w:r>
        <w:t>- 《2025年度安全培训记录.docx》</w:t>
      </w:r>
    </w:p>
    <w:p>
      <w:pPr>
        <w:pStyle w:val="CommentText"/>
      </w:pPr>
      <w:r>
        <w:t>- 《2025年度人力资源统计表.docx》</w:t>
      </w:r>
    </w:p>
    <w:p>
      <w:pPr>
        <w:pStyle w:val="CommentText"/>
      </w:pPr>
      <w:r>
        <w:t>- 《员工手册.docx》</w:t>
      </w:r>
    </w:p>
    <w:p>
      <w:pPr>
        <w:pStyle w:val="CommentText"/>
      </w:pPr>
      <w:r>
        <w:t>阅读提示：本版仅采用了可稳定支持报告表述的资料内容。</w:t>
      </w:r>
    </w:p>
  </w:comment>
  <w:comment w:id="9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《2025年度安全培训记录.docx》</w:t>
      </w:r>
    </w:p>
    <w:p>
      <w:pPr>
        <w:pStyle w:val="CommentText"/>
      </w:pPr>
      <w:r>
        <w:t>- 《2025年度人力资源统计表.docx》</w:t>
      </w:r>
    </w:p>
    <w:p>
      <w:pPr>
        <w:pStyle w:val="CommentText"/>
      </w:pPr>
      <w:r>
        <w:t>阅读提示：本版仅采用了可稳定支持报告表述的资料内容。</w:t>
      </w:r>
    </w:p>
  </w:comment>
  <w:comment w:id="9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《利益相关方沟通记录.docx》</w:t>
      </w:r>
    </w:p>
    <w:p>
      <w:pPr>
        <w:pStyle w:val="CommentText"/>
      </w:pPr>
      <w:r>
        <w:t>阅读提示：本版仅采用了可稳定支持报告表述的资料内容。</w:t>
      </w:r>
    </w:p>
  </w:comment>
  <w:comment w:id="9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阅读提示：本版仅采用了可稳定支持报告表述的资料内容。</w:t>
      </w:r>
    </w:p>
  </w:comment>
  <w:comment w:id="10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《2025年度经营情况说明.docx》</w:t>
      </w:r>
    </w:p>
    <w:p>
      <w:pPr>
        <w:pStyle w:val="CommentText"/>
      </w:pPr>
      <w:r>
        <w:t>阅读提示：本版仅采用了可稳定支持报告表述的资料内容。</w:t>
      </w:r>
    </w:p>
  </w:comment>
  <w:comment w:id="10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《2025年度经营情况说明.docx》</w:t>
      </w:r>
    </w:p>
    <w:p>
      <w:pPr>
        <w:pStyle w:val="CommentText"/>
      </w:pPr>
      <w:r>
        <w:t>阅读提示：本版仅采用了可稳定支持报告表述的资料内容。</w:t>
      </w:r>
    </w:p>
  </w:comment>
  <w:comment w:id="10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阅读提示：本版仅采用了可稳定支持报告表述的资料内容。</w:t>
      </w:r>
    </w:p>
  </w:comment>
  <w:comment w:id="10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《2025年度经营情况说明.docx》</w:t>
      </w:r>
    </w:p>
    <w:p>
      <w:pPr>
        <w:pStyle w:val="CommentText"/>
      </w:pPr>
      <w:r>
        <w:t>阅读提示：本版仅采用了可稳定支持报告表述的资料内容。</w:t>
      </w:r>
    </w:p>
  </w:comment>
  <w:comment w:id="10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《公司简介.docx》</w:t>
      </w:r>
    </w:p>
    <w:p>
      <w:pPr>
        <w:pStyle w:val="CommentText"/>
      </w:pPr>
      <w:r>
        <w:t>- 《2025年度经营情况说明.docx》</w:t>
      </w:r>
    </w:p>
    <w:p>
      <w:pPr>
        <w:pStyle w:val="CommentText"/>
      </w:pPr>
      <w:r>
        <w:t>阅读提示：本版仅采用了可稳定支持报告表述的资料内容。</w:t>
      </w:r>
    </w:p>
  </w:comment>
  <w:comment w:id="10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《2025年度可持续发展委员会会议纪要.docx》</w:t>
      </w:r>
    </w:p>
    <w:p>
      <w:pPr>
        <w:pStyle w:val="CommentText"/>
      </w:pPr>
      <w:r>
        <w:t>- 《2025年度质量数据统计表.docx》</w:t>
      </w:r>
    </w:p>
    <w:p>
      <w:pPr>
        <w:pStyle w:val="CommentText"/>
      </w:pPr>
      <w:r>
        <w:t>- 《公司简介.docx》</w:t>
      </w:r>
    </w:p>
    <w:p>
      <w:pPr>
        <w:pStyle w:val="CommentText"/>
      </w:pPr>
      <w:r>
        <w:t>阅读提示：本版仅采用了可稳定支持报告表述的资料内容。</w:t>
      </w:r>
    </w:p>
  </w:comment>
  <w:comment w:id="10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《2025年度可持续发展委员会会议纪要.docx》</w:t>
      </w:r>
    </w:p>
    <w:p>
      <w:pPr>
        <w:pStyle w:val="CommentText"/>
      </w:pPr>
      <w:r>
        <w:t>- 《2025年度质量数据统计表.docx》</w:t>
      </w:r>
    </w:p>
    <w:p>
      <w:pPr>
        <w:pStyle w:val="CommentText"/>
      </w:pPr>
      <w:r>
        <w:t>- 《公司简介.docx》</w:t>
      </w:r>
    </w:p>
    <w:p>
      <w:pPr>
        <w:pStyle w:val="CommentText"/>
      </w:pPr>
      <w:r>
        <w:t>阅读提示：本版仅采用了可稳定支持报告表述的资料内容。</w:t>
      </w:r>
    </w:p>
  </w:comment>
  <w:comment w:id="10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《2025年度可持续发展委员会会议纪要.docx》</w:t>
      </w:r>
    </w:p>
    <w:p>
      <w:pPr>
        <w:pStyle w:val="CommentText"/>
      </w:pPr>
      <w:r>
        <w:t>- 《2025年度质量数据统计表.docx》</w:t>
      </w:r>
    </w:p>
    <w:p>
      <w:pPr>
        <w:pStyle w:val="CommentText"/>
      </w:pPr>
      <w:r>
        <w:t>阅读提示：本版仅采用了可稳定支持报告表述的资料内容。</w:t>
      </w:r>
    </w:p>
  </w:comment>
  <w:comment w:id="10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《2025年度可持续发展委员会会议纪要.docx》</w:t>
      </w:r>
    </w:p>
    <w:p>
      <w:pPr>
        <w:pStyle w:val="CommentText"/>
      </w:pPr>
      <w:r>
        <w:t>- 《2025年度质量数据统计表.docx》</w:t>
      </w:r>
    </w:p>
    <w:p>
      <w:pPr>
        <w:pStyle w:val="CommentText"/>
      </w:pPr>
      <w:r>
        <w:t>阅读提示：本版仅采用了可稳定支持报告表述的资料内容。</w:t>
      </w:r>
    </w:p>
  </w:comment>
  <w:comment w:id="10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《2025年度质量数据统计表.docx》</w:t>
      </w:r>
    </w:p>
    <w:p>
      <w:pPr>
        <w:pStyle w:val="CommentText"/>
      </w:pPr>
      <w:r>
        <w:t>- 《2025年度供应商名录与评价记录.docx》</w:t>
      </w:r>
    </w:p>
    <w:p>
      <w:pPr>
        <w:pStyle w:val="CommentText"/>
      </w:pPr>
      <w:r>
        <w:t>- 《2025年度经营情况说明.docx》</w:t>
      </w:r>
    </w:p>
    <w:p>
      <w:pPr>
        <w:pStyle w:val="CommentText"/>
      </w:pPr>
      <w:r>
        <w:t>阅读提示：本版仅采用了可稳定支持报告表述的资料内容。</w:t>
      </w:r>
    </w:p>
  </w:comment>
  <w:comment w:id="11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《2025年度质量数据统计表.docx》</w:t>
      </w:r>
    </w:p>
    <w:p>
      <w:pPr>
        <w:pStyle w:val="CommentText"/>
      </w:pPr>
      <w:r>
        <w:t>- 《2025年度供应商名录与评价记录.docx》</w:t>
      </w:r>
    </w:p>
    <w:p>
      <w:pPr>
        <w:pStyle w:val="CommentText"/>
      </w:pPr>
      <w:r>
        <w:t>- 《2025年度经营情况说明.docx》</w:t>
      </w:r>
    </w:p>
    <w:p>
      <w:pPr>
        <w:pStyle w:val="CommentText"/>
      </w:pPr>
      <w:r>
        <w:t>阅读提示：本版仅采用了可稳定支持报告表述的资料内容。</w:t>
      </w:r>
    </w:p>
  </w:comment>
  <w:comment w:id="11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《2025年度可持续发展委员会会议纪要.docx》</w:t>
      </w:r>
    </w:p>
    <w:p>
      <w:pPr>
        <w:pStyle w:val="CommentText"/>
      </w:pPr>
      <w:r>
        <w:t>- 《2025年度质量数据统计表.docx》</w:t>
      </w:r>
    </w:p>
    <w:p>
      <w:pPr>
        <w:pStyle w:val="CommentText"/>
      </w:pPr>
      <w:r>
        <w:t>阅读提示：本版仅采用了可稳定支持报告表述的资料内容。</w:t>
      </w:r>
    </w:p>
  </w:comment>
  <w:comment w:id="11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《2025年度可持续发展委员会会议纪要.docx》</w:t>
      </w:r>
    </w:p>
    <w:p>
      <w:pPr>
        <w:pStyle w:val="CommentText"/>
      </w:pPr>
      <w:r>
        <w:t>- 《2025年度质量数据统计表.docx》</w:t>
      </w:r>
    </w:p>
    <w:p>
      <w:pPr>
        <w:pStyle w:val="CommentText"/>
      </w:pPr>
      <w:r>
        <w:t>阅读提示：本版仅采用了可稳定支持报告表述的资料内容。</w:t>
      </w:r>
    </w:p>
  </w:comment>
  <w:comment w:id="11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《2025年度可持续发展委员会会议纪要.docx》</w:t>
      </w:r>
    </w:p>
    <w:p>
      <w:pPr>
        <w:pStyle w:val="CommentText"/>
      </w:pPr>
      <w:r>
        <w:t>- 《2025年度质量数据统计表.docx》</w:t>
      </w:r>
    </w:p>
    <w:p>
      <w:pPr>
        <w:pStyle w:val="CommentText"/>
      </w:pPr>
      <w:r>
        <w:t>阅读提示：本版仅采用了可稳定支持报告表述的资料内容。</w:t>
      </w:r>
    </w:p>
  </w:comment>
  <w:comment w:id="114"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产品召回事件数量：0件</w:t>
      </w:r>
    </w:p>
    <w:p>
      <w:pPr>
        <w:pStyle w:val="CommentText"/>
      </w:pPr>
      <w:r>
        <w:t>- 已售或已运送产品总数中因安全与质量理由而须回收的比例：0%</w:t>
      </w:r>
    </w:p>
  </w:comment>
  <w:comment w:id="11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阅读提示：本版仅采用了可稳定支持报告表述的资料内容。</w:t>
      </w:r>
    </w:p>
  </w:comment>
  <w:comment w:id="11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阅读提示：本版仅采用了可稳定支持报告表述的资料内容。</w:t>
      </w:r>
    </w:p>
  </w:comment>
  <w:comment w:id="11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《2025年度质量数据统计表.docx》</w:t>
      </w:r>
    </w:p>
    <w:p>
      <w:pPr>
        <w:pStyle w:val="CommentText"/>
      </w:pPr>
      <w:r>
        <w:t>- 《利益相关方沟通记录.docx》</w:t>
      </w:r>
    </w:p>
    <w:p>
      <w:pPr>
        <w:pStyle w:val="CommentText"/>
      </w:pPr>
      <w:r>
        <w:t>阅读提示：本版仅采用了可稳定支持报告表述的资料内容。</w:t>
      </w:r>
    </w:p>
  </w:comment>
  <w:comment w:id="11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《2025年度质量数据统计表.docx》</w:t>
      </w:r>
    </w:p>
    <w:p>
      <w:pPr>
        <w:pStyle w:val="CommentText"/>
      </w:pPr>
      <w:r>
        <w:t>- 《利益相关方沟通记录.docx》</w:t>
      </w:r>
    </w:p>
    <w:p>
      <w:pPr>
        <w:pStyle w:val="CommentText"/>
      </w:pPr>
      <w:r>
        <w:t>阅读提示：本版仅采用了可稳定支持报告表述的资料内容。</w:t>
      </w:r>
    </w:p>
  </w:comment>
  <w:comment w:id="11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《2025年度客户投诉处理记录.docx》</w:t>
      </w:r>
    </w:p>
    <w:p>
      <w:pPr>
        <w:pStyle w:val="CommentText"/>
      </w:pPr>
      <w:r>
        <w:t>- 《2025年度质量数据统计表.docx》</w:t>
      </w:r>
    </w:p>
    <w:p>
      <w:pPr>
        <w:pStyle w:val="CommentText"/>
      </w:pPr>
      <w:r>
        <w:t>- 《利益相关方沟通记录.docx》</w:t>
      </w:r>
    </w:p>
    <w:p>
      <w:pPr>
        <w:pStyle w:val="CommentText"/>
      </w:pPr>
      <w:r>
        <w:t>阅读提示：本版仅采用了可稳定支持报告表述的资料内容。</w:t>
      </w:r>
    </w:p>
  </w:comment>
  <w:comment w:id="12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 《利益相关方沟通记录.docx》</w:t>
      </w:r>
    </w:p>
    <w:p>
      <w:pPr>
        <w:pStyle w:val="CommentText"/>
      </w:pPr>
      <w:r>
        <w:t>- 《2025年度质量数据统计表.docx》</w:t>
      </w:r>
    </w:p>
    <w:p>
      <w:pPr>
        <w:pStyle w:val="CommentText"/>
      </w:pPr>
      <w:r>
        <w:t>阅读提示：本版仅采用了可稳定支持报告表述的资料内容。</w:t>
      </w:r>
    </w:p>
  </w:comment>
  <w:comment w:id="12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 《利益相关方沟通记录.docx》</w:t>
      </w:r>
    </w:p>
    <w:p>
      <w:pPr>
        <w:pStyle w:val="CommentText"/>
      </w:pPr>
      <w:r>
        <w:t>- 《2025年度质量数据统计表.docx》</w:t>
      </w:r>
    </w:p>
    <w:p>
      <w:pPr>
        <w:pStyle w:val="CommentText"/>
      </w:pPr>
      <w:r>
        <w:t>阅读提示：本版仅采用了可稳定支持报告表述的资料内容。</w:t>
      </w:r>
    </w:p>
  </w:comment>
  <w:comment w:id="12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 《利益相关方沟通记录.docx》</w:t>
      </w:r>
    </w:p>
    <w:p>
      <w:pPr>
        <w:pStyle w:val="CommentText"/>
      </w:pPr>
      <w:r>
        <w:t>- 《2025年度质量数据统计表.docx》</w:t>
      </w:r>
    </w:p>
    <w:p>
      <w:pPr>
        <w:pStyle w:val="CommentText"/>
      </w:pPr>
      <w:r>
        <w:t>阅读提示：本版仅采用了可稳定支持报告表述的资料内容。</w:t>
      </w:r>
    </w:p>
  </w:comment>
  <w:comment w:id="12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《客户服务与投诉处理规程.docx》</w:t>
      </w:r>
    </w:p>
    <w:p>
      <w:pPr>
        <w:pStyle w:val="CommentText"/>
      </w:pPr>
      <w:r>
        <w:t>- 《质量管理手册.docx》</w:t>
      </w:r>
    </w:p>
    <w:p>
      <w:pPr>
        <w:pStyle w:val="CommentText"/>
      </w:pPr>
      <w:r>
        <w:t>- 《2025年度客户投诉处理记录.docx》</w:t>
      </w:r>
    </w:p>
    <w:p>
      <w:pPr>
        <w:pStyle w:val="CommentText"/>
      </w:pPr>
      <w:r>
        <w:t>- 《利益相关方沟通记录.docx》</w:t>
      </w:r>
    </w:p>
    <w:p>
      <w:pPr>
        <w:pStyle w:val="CommentText"/>
      </w:pPr>
      <w:r>
        <w:t>- 《2025年度质量数据统计表.docx》</w:t>
      </w:r>
    </w:p>
    <w:p>
      <w:pPr>
        <w:pStyle w:val="CommentText"/>
      </w:pPr>
      <w:r>
        <w:t>阅读提示：本版仅采用了可稳定支持报告表述的资料内容。</w:t>
      </w:r>
    </w:p>
  </w:comment>
  <w:comment w:id="124"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关于产品及服务的投诉数量：6件</w:t>
      </w:r>
    </w:p>
    <w:p>
      <w:pPr>
        <w:pStyle w:val="CommentText"/>
      </w:pPr>
      <w:r>
        <w:t>- 投诉处理率：100%</w:t>
      </w:r>
    </w:p>
  </w:comment>
  <w:comment w:id="12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《2025年度董事会与治理运作说明.docx》</w:t>
      </w:r>
    </w:p>
    <w:p>
      <w:pPr>
        <w:pStyle w:val="CommentText"/>
      </w:pPr>
      <w:r>
        <w:t>- 《供应商管理办法.docx》</w:t>
      </w:r>
    </w:p>
    <w:p>
      <w:pPr>
        <w:pStyle w:val="CommentText"/>
      </w:pPr>
      <w:r>
        <w:t>- 《供应链尽职调查管理办法.docx》</w:t>
      </w:r>
    </w:p>
    <w:p>
      <w:pPr>
        <w:pStyle w:val="CommentText"/>
      </w:pPr>
      <w:r>
        <w:t>- 《环境管理制度.docx》</w:t>
      </w:r>
    </w:p>
    <w:p>
      <w:pPr>
        <w:pStyle w:val="CommentText"/>
      </w:pPr>
      <w:r>
        <w:t>- 《利益相关方沟通记录.docx》</w:t>
      </w:r>
    </w:p>
    <w:p>
      <w:pPr>
        <w:pStyle w:val="CommentText"/>
      </w:pPr>
      <w:r>
        <w:t>阅读提示：本版仅采用了可稳定支持报告表述的资料内容。</w:t>
      </w:r>
    </w:p>
  </w:comment>
  <w:comment w:id="12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《2025年度董事会与治理运作说明.docx》</w:t>
      </w:r>
    </w:p>
    <w:p>
      <w:pPr>
        <w:pStyle w:val="CommentText"/>
      </w:pPr>
      <w:r>
        <w:t>- 《供应商管理办法.docx》</w:t>
      </w:r>
    </w:p>
    <w:p>
      <w:pPr>
        <w:pStyle w:val="CommentText"/>
      </w:pPr>
      <w:r>
        <w:t>- 《供应链尽职调查管理办法.docx》</w:t>
      </w:r>
    </w:p>
    <w:p>
      <w:pPr>
        <w:pStyle w:val="CommentText"/>
      </w:pPr>
      <w:r>
        <w:t>- 《环境管理制度.docx》</w:t>
      </w:r>
    </w:p>
    <w:p>
      <w:pPr>
        <w:pStyle w:val="CommentText"/>
      </w:pPr>
      <w:r>
        <w:t>- 《利益相关方沟通记录.docx》</w:t>
      </w:r>
    </w:p>
    <w:p>
      <w:pPr>
        <w:pStyle w:val="CommentText"/>
      </w:pPr>
      <w:r>
        <w:t>阅读提示：本版仅采用了可稳定支持报告表述的资料内容。</w:t>
      </w:r>
    </w:p>
  </w:comment>
  <w:comment w:id="12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《供应商管理办法.docx》</w:t>
      </w:r>
    </w:p>
    <w:p>
      <w:pPr>
        <w:pStyle w:val="CommentText"/>
      </w:pPr>
      <w:r>
        <w:t>- 《公司简介.docx》</w:t>
      </w:r>
    </w:p>
    <w:p>
      <w:pPr>
        <w:pStyle w:val="CommentText"/>
      </w:pPr>
      <w:r>
        <w:t>- 《2025年度可持续发展委员会会议纪要.docx》</w:t>
      </w:r>
    </w:p>
    <w:p>
      <w:pPr>
        <w:pStyle w:val="CommentText"/>
      </w:pPr>
      <w:r>
        <w:t>- 《2025年度供应商名录与评价记录.docx》</w:t>
      </w:r>
    </w:p>
    <w:p>
      <w:pPr>
        <w:pStyle w:val="CommentText"/>
      </w:pPr>
      <w:r>
        <w:t>阅读提示：本版仅采用了可稳定支持报告表述的资料内容。</w:t>
      </w:r>
    </w:p>
  </w:comment>
  <w:comment w:id="12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《供应商管理办法.docx》</w:t>
      </w:r>
    </w:p>
    <w:p>
      <w:pPr>
        <w:pStyle w:val="CommentText"/>
      </w:pPr>
      <w:r>
        <w:t>- 《公司简介.docx》</w:t>
      </w:r>
    </w:p>
    <w:p>
      <w:pPr>
        <w:pStyle w:val="CommentText"/>
      </w:pPr>
      <w:r>
        <w:t>- 《2025年度可持续发展委员会会议纪要.docx》</w:t>
      </w:r>
    </w:p>
    <w:p>
      <w:pPr>
        <w:pStyle w:val="CommentText"/>
      </w:pPr>
      <w:r>
        <w:t>- 《2025年度供应商名录与评价记录.docx》</w:t>
      </w:r>
    </w:p>
    <w:p>
      <w:pPr>
        <w:pStyle w:val="CommentText"/>
      </w:pPr>
      <w:r>
        <w:t>阅读提示：本版仅采用了可稳定支持报告表述的资料内容。</w:t>
      </w:r>
    </w:p>
  </w:comment>
  <w:comment w:id="12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《供应商管理办法.docx》</w:t>
      </w:r>
    </w:p>
    <w:p>
      <w:pPr>
        <w:pStyle w:val="CommentText"/>
      </w:pPr>
      <w:r>
        <w:t>- 《公司简介.docx》</w:t>
      </w:r>
    </w:p>
    <w:p>
      <w:pPr>
        <w:pStyle w:val="CommentText"/>
      </w:pPr>
      <w:r>
        <w:t>- 《2025年度可持续发展委员会会议纪要.docx》</w:t>
      </w:r>
    </w:p>
    <w:p>
      <w:pPr>
        <w:pStyle w:val="CommentText"/>
      </w:pPr>
      <w:r>
        <w:t>- 《2025年度供应商名录与评价记录.docx》</w:t>
      </w:r>
    </w:p>
    <w:p>
      <w:pPr>
        <w:pStyle w:val="CommentText"/>
      </w:pPr>
      <w:r>
        <w:t>阅读提示：本版仅采用了可稳定支持报告表述的资料内容。</w:t>
      </w:r>
    </w:p>
  </w:comment>
  <w:comment w:id="13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《供应商管理办法.docx》</w:t>
      </w:r>
    </w:p>
    <w:p>
      <w:pPr>
        <w:pStyle w:val="CommentText"/>
      </w:pPr>
      <w:r>
        <w:t>- 《2025年度供应商名录与评价记录.docx》</w:t>
      </w:r>
    </w:p>
    <w:p>
      <w:pPr>
        <w:pStyle w:val="CommentText"/>
      </w:pPr>
      <w:r>
        <w:t>- 《供应链尽职调查管理办法.docx》</w:t>
      </w:r>
    </w:p>
    <w:p>
      <w:pPr>
        <w:pStyle w:val="CommentText"/>
      </w:pPr>
      <w:r>
        <w:t>- 《2025年度可持续发展委员会会议纪要.docx》</w:t>
      </w:r>
    </w:p>
    <w:p>
      <w:pPr>
        <w:pStyle w:val="CommentText"/>
      </w:pPr>
      <w:r>
        <w:t>- 《质量管理手册.docx》</w:t>
      </w:r>
    </w:p>
    <w:p>
      <w:pPr>
        <w:pStyle w:val="CommentText"/>
      </w:pPr>
      <w:r>
        <w:t>阅读提示：本版仅采用了可稳定支持报告表述的资料内容。</w:t>
      </w:r>
    </w:p>
  </w:comment>
  <w:comment w:id="13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《供应商管理办法.docx》</w:t>
      </w:r>
    </w:p>
    <w:p>
      <w:pPr>
        <w:pStyle w:val="CommentText"/>
      </w:pPr>
      <w:r>
        <w:t>- 《2025年度供应商名录与评价记录.docx》</w:t>
      </w:r>
    </w:p>
    <w:p>
      <w:pPr>
        <w:pStyle w:val="CommentText"/>
      </w:pPr>
      <w:r>
        <w:t>- 《供应链尽职调查管理办法.docx》</w:t>
      </w:r>
    </w:p>
    <w:p>
      <w:pPr>
        <w:pStyle w:val="CommentText"/>
      </w:pPr>
      <w:r>
        <w:t>- 《2025年度可持续发展委员会会议纪要.docx》</w:t>
      </w:r>
    </w:p>
    <w:p>
      <w:pPr>
        <w:pStyle w:val="CommentText"/>
      </w:pPr>
      <w:r>
        <w:t>- 《质量管理手册.docx》</w:t>
      </w:r>
    </w:p>
    <w:p>
      <w:pPr>
        <w:pStyle w:val="CommentText"/>
      </w:pPr>
      <w:r>
        <w:t>阅读提示：本版仅采用了可稳定支持报告表述的资料内容。</w:t>
      </w:r>
    </w:p>
  </w:comment>
  <w:comment w:id="13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《2025年度供应商名录与评价记录.docx》</w:t>
      </w:r>
    </w:p>
    <w:p>
      <w:pPr>
        <w:pStyle w:val="CommentText"/>
      </w:pPr>
      <w:r>
        <w:t>- 《供应链尽职调查管理办法.docx》</w:t>
      </w:r>
    </w:p>
    <w:p>
      <w:pPr>
        <w:pStyle w:val="CommentText"/>
      </w:pPr>
      <w:r>
        <w:t>- 《供应商管理办法.docx》</w:t>
      </w:r>
    </w:p>
    <w:p>
      <w:pPr>
        <w:pStyle w:val="CommentText"/>
      </w:pPr>
      <w:r>
        <w:t>- 《2025年度可持续发展委员会会议纪要.docx》</w:t>
      </w:r>
    </w:p>
    <w:p>
      <w:pPr>
        <w:pStyle w:val="CommentText"/>
      </w:pPr>
      <w:r>
        <w:t>- 《质量管理手册.docx》</w:t>
      </w:r>
    </w:p>
    <w:p>
      <w:pPr>
        <w:pStyle w:val="CommentText"/>
      </w:pPr>
      <w:r>
        <w:t>阅读提示：本版仅采用了可稳定支持报告表述的资料内容。</w:t>
      </w:r>
    </w:p>
  </w:comment>
  <w:comment w:id="13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《2025年度供应商名录与评价记录.docx》</w:t>
      </w:r>
    </w:p>
    <w:p>
      <w:pPr>
        <w:pStyle w:val="CommentText"/>
      </w:pPr>
      <w:r>
        <w:t>- 《供应链尽职调查管理办法.docx》</w:t>
      </w:r>
    </w:p>
    <w:p>
      <w:pPr>
        <w:pStyle w:val="CommentText"/>
      </w:pPr>
      <w:r>
        <w:t>- 《供应商管理办法.docx》</w:t>
      </w:r>
    </w:p>
    <w:p>
      <w:pPr>
        <w:pStyle w:val="CommentText"/>
      </w:pPr>
      <w:r>
        <w:t>- 《2025年度可持续发展委员会会议纪要.docx》</w:t>
      </w:r>
    </w:p>
    <w:p>
      <w:pPr>
        <w:pStyle w:val="CommentText"/>
      </w:pPr>
      <w:r>
        <w:t>- 《质量管理手册.docx》</w:t>
      </w:r>
    </w:p>
    <w:p>
      <w:pPr>
        <w:pStyle w:val="CommentText"/>
      </w:pPr>
      <w:r>
        <w:t>阅读提示：本版仅采用了可稳定支持报告表述的资料内容。</w:t>
      </w:r>
    </w:p>
  </w:comment>
  <w:comment w:id="134"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供应商总数：186家</w:t>
      </w:r>
    </w:p>
    <w:p>
      <w:pPr>
        <w:pStyle w:val="CommentText"/>
      </w:pPr>
      <w:r>
        <w:t>- 中国内地：168家</w:t>
      </w:r>
    </w:p>
    <w:p>
      <w:pPr>
        <w:pStyle w:val="CommentText"/>
      </w:pPr>
      <w:r>
        <w:t>- 港澳台地区：4家</w:t>
      </w:r>
    </w:p>
    <w:p>
      <w:pPr>
        <w:pStyle w:val="CommentText"/>
      </w:pPr>
      <w:r>
        <w:t>- 国外供应商：14家</w:t>
      </w:r>
    </w:p>
    <w:p>
      <w:pPr>
        <w:pStyle w:val="CommentText"/>
      </w:pPr>
      <w:r>
        <w:t>- 年度淘汰供应商总数：6家</w:t>
      </w:r>
    </w:p>
  </w:comment>
  <w:comment w:id="13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阅读提示：本版仅采用了可稳定支持报告表述的资料内容。</w:t>
      </w:r>
    </w:p>
  </w:comment>
  <w:comment w:id="13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阅读提示：本版仅采用了可稳定支持报告表述的资料内容。</w:t>
      </w:r>
    </w:p>
  </w:comment>
  <w:comment w:id="13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阅读提示：本版仅采用了可稳定支持报告表述的资料内容。</w:t>
      </w:r>
    </w:p>
  </w:comment>
  <w:comment w:id="13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阅读提示：本版仅采用了可稳定支持报告表述的资料内容。</w:t>
      </w:r>
    </w:p>
  </w:comment>
  <w:comment w:id="139"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0"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1"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2"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3"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4"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5"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6"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7" w:author="GreenStone" w:initials="GS" w:date="2026-09-02T11:53:32Z">
    <w:p>
      <w:pPr>
        <w:pStyle w:val="CommentText"/>
      </w:pPr>
      <w:r>
        <w:rPr>
          <w:rStyle w:val="CommentReference"/>
        </w:rPr>
        <w:annotationRef/>
      </w:r>
      <w:r>
        <w:t>本段未引用用户上传的资料，依据用户的基础信息、填写内容与行业通用披露语境撰写。</w:t>
      </w:r>
    </w:p>
  </w:comment>
  <w:comment w:id="14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《2025年度董事会与治理运作说明.docx》</w:t>
      </w:r>
    </w:p>
    <w:p>
      <w:pPr>
        <w:pStyle w:val="CommentText"/>
      </w:pPr>
      <w:r>
        <w:t>- 《反商业贿赂与廉洁从业规定.docx》</w:t>
      </w:r>
    </w:p>
    <w:p>
      <w:pPr>
        <w:pStyle w:val="CommentText"/>
      </w:pPr>
      <w:r>
        <w:t>- 《员工手册.docx》</w:t>
      </w:r>
    </w:p>
    <w:p>
      <w:pPr>
        <w:pStyle w:val="CommentText"/>
      </w:pPr>
      <w:r>
        <w:t>- 《供应商管理办法.docx》</w:t>
      </w:r>
    </w:p>
    <w:p>
      <w:pPr>
        <w:pStyle w:val="CommentText"/>
      </w:pPr>
      <w:r>
        <w:t>阅读提示：本版仅采用了可稳定支持报告表述的资料内容。</w:t>
      </w:r>
    </w:p>
  </w:comment>
  <w:comment w:id="14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《2025年度董事会与治理运作说明.docx》</w:t>
      </w:r>
    </w:p>
    <w:p>
      <w:pPr>
        <w:pStyle w:val="CommentText"/>
      </w:pPr>
      <w:r>
        <w:t>- 《2025年度可持续发展委员会会议纪要.docx》</w:t>
      </w:r>
    </w:p>
    <w:p>
      <w:pPr>
        <w:pStyle w:val="CommentText"/>
      </w:pPr>
      <w:r>
        <w:t>阅读提示：本版仅采用了可稳定支持报告表述的资料内容。</w:t>
      </w:r>
    </w:p>
  </w:comment>
  <w:comment w:id="150" w:author="GreenStone" w:initials="GS" w:date="2026-09-02T11:53:32Z">
    <w:p>
      <w:pPr>
        <w:pStyle w:val="CommentText"/>
      </w:pPr>
      <w:r>
        <w:rPr>
          <w:rStyle w:val="CommentReference"/>
        </w:rPr>
        <w:annotationRef/>
      </w:r>
      <w:r>
        <w:t>本表依据用户提供的以下资料撰写，内容限于资料实际反映的范围：</w:t>
      </w:r>
    </w:p>
    <w:p>
      <w:pPr>
        <w:pStyle w:val="CommentText"/>
      </w:pPr>
      <w:r>
        <w:t>- 《反商业贿赂与廉洁从业规定.docx》</w:t>
      </w:r>
    </w:p>
    <w:p>
      <w:pPr>
        <w:pStyle w:val="CommentText"/>
      </w:pPr>
      <w:r>
        <w:t>- 《供应商管理办法.docx》</w:t>
      </w:r>
    </w:p>
    <w:p>
      <w:pPr>
        <w:pStyle w:val="CommentText"/>
      </w:pPr>
      <w:r>
        <w:t>- 《2025年度供应商名录与评价记录.docx》</w:t>
      </w:r>
    </w:p>
    <w:p>
      <w:pPr>
        <w:pStyle w:val="CommentText"/>
      </w:pPr>
      <w:r>
        <w:t>阅读提示：本版仅采用了可稳定支持报告表述的资料内容。</w:t>
      </w:r>
    </w:p>
  </w:comment>
  <w:comment w:id="15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《2025年度董事会与治理运作说明.docx》</w:t>
      </w:r>
    </w:p>
    <w:p>
      <w:pPr>
        <w:pStyle w:val="CommentText"/>
      </w:pPr>
      <w:r>
        <w:t>- 《供应商管理办法.docx》</w:t>
      </w:r>
    </w:p>
    <w:p>
      <w:pPr>
        <w:pStyle w:val="CommentText"/>
      </w:pPr>
      <w:r>
        <w:t>- 《员工手册.docx》</w:t>
      </w:r>
    </w:p>
    <w:p>
      <w:pPr>
        <w:pStyle w:val="CommentText"/>
      </w:pPr>
      <w:r>
        <w:t>阅读提示：本版仅采用了可稳定支持报告表述的资料内容。</w:t>
      </w:r>
    </w:p>
  </w:comment>
  <w:comment w:id="15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《2025年度董事会与治理运作说明.docx》</w:t>
      </w:r>
    </w:p>
    <w:p>
      <w:pPr>
        <w:pStyle w:val="CommentText"/>
      </w:pPr>
      <w:r>
        <w:t>- 《供应商管理办法.docx》</w:t>
      </w:r>
    </w:p>
    <w:p>
      <w:pPr>
        <w:pStyle w:val="CommentText"/>
      </w:pPr>
      <w:r>
        <w:t>- 《员工手册.docx》</w:t>
      </w:r>
    </w:p>
    <w:p>
      <w:pPr>
        <w:pStyle w:val="CommentText"/>
      </w:pPr>
      <w:r>
        <w:t>阅读提示：本版仅采用了可稳定支持报告表述的资料内容。</w:t>
      </w:r>
    </w:p>
  </w:comment>
  <w:comment w:id="15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《2025年度可持续发展委员会会议纪要.docx》</w:t>
      </w:r>
    </w:p>
    <w:p>
      <w:pPr>
        <w:pStyle w:val="CommentText"/>
      </w:pPr>
      <w:r>
        <w:t>阅读提示：本版仅采用了可稳定支持报告表述的资料内容。</w:t>
      </w:r>
    </w:p>
  </w:comment>
  <w:comment w:id="154" w:author="GreenStone" w:initials="GS" w:date="2026-09-02T11:53:32Z">
    <w:p>
      <w:pPr>
        <w:pStyle w:val="CommentText"/>
      </w:pPr>
      <w:r>
        <w:rPr>
          <w:rStyle w:val="CommentReference"/>
        </w:rPr>
        <w:annotationRef/>
      </w:r>
      <w:r>
        <w:t>本图由系统根据用户填写的以下定量指标绘制，数值与填写值一致：</w:t>
      </w:r>
    </w:p>
    <w:p>
      <w:pPr>
        <w:pStyle w:val="CommentText"/>
      </w:pPr>
      <w:r>
        <w:t>- 反贪腐培训总次数：4次</w:t>
      </w:r>
    </w:p>
    <w:p>
      <w:pPr>
        <w:pStyle w:val="CommentText"/>
      </w:pPr>
      <w:r>
        <w:t>- 反贪腐培训总人数：128人</w:t>
      </w:r>
    </w:p>
  </w:comment>
  <w:comment w:id="15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《广告与宣传素材合规审查规程.docx》</w:t>
      </w:r>
    </w:p>
    <w:p>
      <w:pPr>
        <w:pStyle w:val="CommentText"/>
      </w:pPr>
      <w:r>
        <w:t>阅读提示：本版仅采用了可稳定支持报告表述的资料内容。</w:t>
      </w:r>
    </w:p>
  </w:comment>
  <w:comment w:id="15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《广告与宣传素材合规审查规程.docx》</w:t>
      </w:r>
    </w:p>
    <w:p>
      <w:pPr>
        <w:pStyle w:val="CommentText"/>
      </w:pPr>
      <w:r>
        <w:t>阅读提示：本版仅采用了可稳定支持报告表述的资料内容。</w:t>
      </w:r>
    </w:p>
  </w:comment>
  <w:comment w:id="15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《广告与宣传素材合规审查规程.docx》</w:t>
      </w:r>
    </w:p>
    <w:p>
      <w:pPr>
        <w:pStyle w:val="CommentText"/>
      </w:pPr>
      <w:r>
        <w:t>阅读提示：本版仅采用了可稳定支持报告表述的资料内容。</w:t>
      </w:r>
    </w:p>
  </w:comment>
  <w:comment w:id="15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《广告与宣传素材合规审查规程.docx》</w:t>
      </w:r>
    </w:p>
    <w:p>
      <w:pPr>
        <w:pStyle w:val="CommentText"/>
      </w:pPr>
      <w:r>
        <w:t>阅读提示：本版仅采用了可稳定支持报告表述的资料内容。</w:t>
      </w:r>
    </w:p>
  </w:comment>
  <w:comment w:id="15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 《广告与宣传素材合规审查规程.docx》</w:t>
      </w:r>
    </w:p>
    <w:p>
      <w:pPr>
        <w:pStyle w:val="CommentText"/>
      </w:pPr>
      <w:r>
        <w:t>阅读提示：本版仅采用了可稳定支持报告表述的资料内容。</w:t>
      </w:r>
    </w:p>
  </w:comment>
  <w:comment w:id="16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《反商业贿赂与廉洁从业规定.docx》</w:t>
      </w:r>
    </w:p>
    <w:p>
      <w:pPr>
        <w:pStyle w:val="CommentText"/>
      </w:pPr>
      <w:r>
        <w:t>阅读提示：本版仅采用了可稳定支持报告表述的资料内容。</w:t>
      </w:r>
    </w:p>
  </w:comment>
  <w:comment w:id="16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《供应链尽职调查管理办法.docx》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《2025年度供应商名录与评价记录.docx》</w:t>
      </w:r>
    </w:p>
    <w:p>
      <w:pPr>
        <w:pStyle w:val="CommentText"/>
      </w:pPr>
      <w:r>
        <w:t>阅读提示：本版仅采用了可稳定支持报告表述的资料内容。</w:t>
      </w:r>
    </w:p>
  </w:comment>
  <w:comment w:id="16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《2025年度供应商名录与评价记录.docx》</w:t>
      </w:r>
    </w:p>
    <w:p>
      <w:pPr>
        <w:pStyle w:val="CommentText"/>
      </w:pPr>
      <w:r>
        <w:t>阅读提示：本版仅采用了可稳定支持报告表述的资料内容。</w:t>
      </w:r>
    </w:p>
  </w:comment>
  <w:comment w:id="16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《供应链尽职调查管理办法.docx》</w:t>
      </w:r>
    </w:p>
    <w:p>
      <w:pPr>
        <w:pStyle w:val="CommentText"/>
      </w:pPr>
      <w:r>
        <w:t>- 《2025年度供应商名录与评价记录.docx》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6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《供应链尽职调查管理办法.docx》</w:t>
      </w:r>
    </w:p>
    <w:p>
      <w:pPr>
        <w:pStyle w:val="CommentText"/>
      </w:pPr>
      <w:r>
        <w:t>- 《2025年度供应商名录与评价记录.docx》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70"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《供应链尽职调查管理办法.docx》</w:t>
      </w:r>
    </w:p>
    <w:p>
      <w:pPr>
        <w:pStyle w:val="CommentText"/>
      </w:pPr>
      <w:r>
        <w:t>- 《2025年度供应商名录与评价记录.docx》</w:t>
      </w:r>
    </w:p>
    <w:p>
      <w:pPr>
        <w:pStyle w:val="CommentText"/>
      </w:pPr>
      <w:r>
        <w:t>- 《供应商管理办法.docx》</w:t>
      </w:r>
    </w:p>
    <w:p>
      <w:pPr>
        <w:pStyle w:val="CommentText"/>
      </w:pPr>
      <w:r>
        <w:t>- 《环境管理制度.docx》</w:t>
      </w:r>
    </w:p>
    <w:p>
      <w:pPr>
        <w:pStyle w:val="CommentText"/>
      </w:pPr>
      <w:r>
        <w:t>阅读提示：本版仅采用了可稳定支持报告表述的资料内容。</w:t>
      </w:r>
    </w:p>
  </w:comment>
  <w:comment w:id="171"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《质量管理手册.docx》</w:t>
      </w:r>
    </w:p>
    <w:p>
      <w:pPr>
        <w:pStyle w:val="CommentText"/>
      </w:pPr>
      <w:r>
        <w:t>- 《环境管理制度.docx》</w:t>
      </w:r>
    </w:p>
    <w:p>
      <w:pPr>
        <w:pStyle w:val="CommentText"/>
      </w:pPr>
      <w:r>
        <w:t>阅读提示：本版仅采用了可稳定支持报告表述的资料内容。</w:t>
      </w:r>
    </w:p>
  </w:comment>
  <w:comment w:id="172"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《供应商管理办法.docx》</w:t>
      </w:r>
    </w:p>
    <w:p>
      <w:pPr>
        <w:pStyle w:val="CommentText"/>
      </w:pPr>
      <w:r>
        <w:t>- 《2025年度供应商名录与评价记录.docx》</w:t>
      </w:r>
    </w:p>
    <w:p>
      <w:pPr>
        <w:pStyle w:val="CommentText"/>
      </w:pPr>
      <w:r>
        <w:t>阅读提示：本版仅采用了可稳定支持报告表述的资料内容。</w:t>
      </w:r>
    </w:p>
  </w:comment>
  <w:comment w:id="173"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《供应商管理办法.docx》</w:t>
      </w:r>
    </w:p>
    <w:p>
      <w:pPr>
        <w:pStyle w:val="CommentText"/>
      </w:pPr>
      <w:r>
        <w:t>- 《2025年度供应商名录与评价记录.docx》</w:t>
      </w:r>
    </w:p>
    <w:p>
      <w:pPr>
        <w:pStyle w:val="CommentText"/>
      </w:pPr>
      <w:r>
        <w:t>阅读提示：本版仅采用了可稳定支持报告表述的资料内容。</w:t>
      </w:r>
    </w:p>
  </w:comment>
  <w:comment w:id="174"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《供应商管理办法.docx》</w:t>
      </w:r>
    </w:p>
    <w:p>
      <w:pPr>
        <w:pStyle w:val="CommentText"/>
      </w:pPr>
      <w:r>
        <w:t>- 《2025年度供应商名录与评价记录.docx》</w:t>
      </w:r>
    </w:p>
    <w:p>
      <w:pPr>
        <w:pStyle w:val="CommentText"/>
      </w:pPr>
      <w:r>
        <w:t>阅读提示：本版仅采用了可稳定支持报告表述的资料内容。</w:t>
      </w:r>
    </w:p>
  </w:comment>
  <w:comment w:id="175"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《2025年度供应商名录与评价记录.docx》</w:t>
      </w:r>
    </w:p>
    <w:p>
      <w:pPr>
        <w:pStyle w:val="CommentText"/>
      </w:pPr>
      <w:r>
        <w:t>阅读提示：本版仅采用了可稳定支持报告表述的资料内容。</w:t>
      </w:r>
    </w:p>
  </w:comment>
  <w:comment w:id="176"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《2025年度供应商名录与评价记录.docx》</w:t>
      </w:r>
    </w:p>
    <w:p>
      <w:pPr>
        <w:pStyle w:val="CommentText"/>
      </w:pPr>
      <w:r>
        <w:t>- 《供应链尽职调查管理办法.docx》</w:t>
      </w:r>
    </w:p>
    <w:p>
      <w:pPr>
        <w:pStyle w:val="CommentText"/>
      </w:pPr>
      <w:r>
        <w:t>- 《供应商管理办法.docx》</w:t>
      </w:r>
    </w:p>
    <w:p>
      <w:pPr>
        <w:pStyle w:val="CommentText"/>
      </w:pPr>
      <w:r>
        <w:t>阅读提示：本版仅采用了可稳定支持报告表述的资料内容。</w:t>
      </w:r>
    </w:p>
  </w:comment>
  <w:comment w:id="177"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《2025年度供应商名录与评价记录.docx》</w:t>
      </w:r>
    </w:p>
    <w:p>
      <w:pPr>
        <w:pStyle w:val="CommentText"/>
      </w:pPr>
      <w:r>
        <w:t>- 《供应链尽职调查管理办法.docx》</w:t>
      </w:r>
    </w:p>
    <w:p>
      <w:pPr>
        <w:pStyle w:val="CommentText"/>
      </w:pPr>
      <w:r>
        <w:t>- 《供应商管理办法.docx》</w:t>
      </w:r>
    </w:p>
    <w:p>
      <w:pPr>
        <w:pStyle w:val="CommentText"/>
      </w:pPr>
      <w:r>
        <w:t>阅读提示：本版仅采用了可稳定支持报告表述的资料内容。</w:t>
      </w:r>
    </w:p>
  </w:comment>
  <w:comment w:id="178"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《2025年度供应商名录与评价记录.docx》</w:t>
      </w:r>
    </w:p>
    <w:p>
      <w:pPr>
        <w:pStyle w:val="CommentText"/>
      </w:pPr>
      <w:r>
        <w:t>- 《供应链尽职调查管理办法.docx》</w:t>
      </w:r>
    </w:p>
    <w:p>
      <w:pPr>
        <w:pStyle w:val="CommentText"/>
      </w:pPr>
      <w:r>
        <w:t>- 《供应商管理办法.docx》</w:t>
      </w:r>
    </w:p>
    <w:p>
      <w:pPr>
        <w:pStyle w:val="CommentText"/>
      </w:pPr>
      <w:r>
        <w:t>阅读提示：本版仅采用了可稳定支持报告表述的资料内容。</w:t>
      </w:r>
    </w:p>
  </w:comment>
  <w:comment w:id="179" w:author="GreenStone" w:initials="GS" w:date="2026-09-02T11:53:32Z">
    <w:p>
      <w:pPr>
        <w:pStyle w:val="CommentText"/>
      </w:pPr>
      <w:r>
        <w:rPr>
          <w:rStyle w:val="CommentReference"/>
        </w:rPr>
        <w:annotationRef/>
      </w:r>
      <w:r>
        <w:t>本段依据用户提供的以下资料撰写，内容限于资料实际反映的范围：</w:t>
      </w:r>
    </w:p>
    <w:p>
      <w:pPr>
        <w:pStyle w:val="CommentText"/>
      </w:pPr>
      <w:r>
        <w:t>- 《供应链尽职调查管理办法.docx》</w:t>
      </w:r>
    </w:p>
    <w:p>
      <w:pPr>
        <w:pStyle w:val="CommentText"/>
      </w:pPr>
      <w:r>
        <w:t>- 《2025年度供应商名录与评价记录.docx》</w:t>
      </w:r>
    </w:p>
    <w:p>
      <w:pPr>
        <w:pStyle w:val="CommentText"/>
      </w:pPr>
      <w:r>
        <w:t>- 《供应商管理办法.docx》</w:t>
      </w:r>
    </w:p>
    <w:p>
      <w:pPr>
        <w:pStyle w:val="CommentText"/>
      </w:pPr>
      <w:r>
        <w:t>阅读提示：本版仅采用了可稳定支持报告表述的资料内容。</w:t>
      </w:r>
    </w:p>
  </w:comment>
  <w:comment w:id="180" w:author="GreenStone" w:initials="GS" w:date="2026-09-02T11:53:32Z">
    <w:p>
      <w:pPr>
        <w:pStyle w:val="CommentText"/>
      </w:pPr>
      <w:r>
        <w:rPr>
          <w:rStyle w:val="CommentReference"/>
        </w:rPr>
        <w:annotationRef/>
      </w:r>
      <w:r>
        <w:t>本次报告说明：本版本使用了用户提供的资料；系统撰写的各段与绘制的各图均以批注说明依据。已采用资料：2025年度人力资源统计表.docx、可持续发展委员会工作规则.docx、供应商管理办法.docx、环境管理制度.docx、2025年度能源与排放台账.docx、能源管理办法.docx、2025年度废弃物与水资源台账.docx、固体废弃物管理规程.docx、公司简介.docx、2025年度经营情况说明.docx、2025年度董事会与治理运作说明.docx、2025年度质量数据统计表.docx、供应链尽职调查管理办法.docx、客户服务与投诉处理规程.docx、2025年度安全培训记录.docx、职业健康安全管理制度.docx、员工手册.docx、质量管理手册.docx、广告与宣传素材合规审查规程.docx、2025年度客户投诉处理记录.docx、2025年度可持续发展委员会会议纪要.docx、利益相关方沟通记录.docx、边角料回收与资源化利用规程.docx、反商业贿赂与廉洁从业规定.docx、2025年度供应商名录与评价记录.docx。</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686D" w14:textId="77777777" w:rsidR="00B616DC" w:rsidRDefault="00B616DC">
      <w:pPr>
        <w:spacing w:line="240" w:lineRule="auto"/>
      </w:pPr>
      <w:r>
        <w:separator/>
      </w:r>
    </w:p>
  </w:endnote>
  <w:endnote w:type="continuationSeparator" w:id="0">
    <w:p w14:paraId="4367E048" w14:textId="77777777" w:rsidR="00B616DC" w:rsidRDefault="00B616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仿宋">
    <w:altName w:val="STFangsong"/>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A942" w14:textId="77777777" w:rsidR="00446207" w:rsidRDefault="00000000">
    <w:pPr>
      <w:pStyle w:val="a9"/>
    </w:pPr>
    <w:r>
      <w:rPr>
        <w:noProof/>
      </w:rPr>
      <mc:AlternateContent>
        <mc:Choice Requires="wps">
          <w:drawing>
            <wp:anchor distT="0" distB="0" distL="114300" distR="114300" simplePos="0" relativeHeight="251731968" behindDoc="0" locked="0" layoutInCell="1" allowOverlap="1" wp14:anchorId="6DF2F907" wp14:editId="1D4863B4">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84919" w14:textId="77777777" w:rsidR="00446207" w:rsidRDefault="00000000">
                          <w:pPr>
                            <w:pStyle w:val="a9"/>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rsidR="00446207">
                              <w:t>76</w:t>
                            </w:r>
                          </w:fldSimple>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F2F907" id="_x0000_t202" coordsize="21600,21600" o:spt="202" path="m,l,21600r21600,l21600,xe">
              <v:stroke joinstyle="miter"/>
              <v:path gradientshapeok="t" o:connecttype="rect"/>
            </v:shapetype>
            <v:shape id="文本框 86" o:spid="_x0000_s1036" type="#_x0000_t202" style="position:absolute;margin-left:0;margin-top:0;width:2in;height:2in;z-index:2517319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2A84919" w14:textId="77777777" w:rsidR="00446207" w:rsidRDefault="00000000">
                    <w:pPr>
                      <w:pStyle w:val="a9"/>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rsidR="00446207">
                        <w:t>76</w:t>
                      </w:r>
                    </w:fldSimple>
                    <w: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167D" w14:textId="77777777" w:rsidR="00446207" w:rsidRDefault="0044620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6A00" w14:textId="0D4F1247" w:rsidR="00446207" w:rsidRDefault="00000000">
    <w:pPr>
      <w:pStyle w:val="a9"/>
    </w:pPr>
    <w:r>
      <w:rPr>
        <w:noProof/>
      </w:rPr>
      <mc:AlternateContent>
        <mc:Choice Requires="wps">
          <w:drawing>
            <wp:anchor distT="0" distB="0" distL="114300" distR="114300" simplePos="0" relativeHeight="251732992" behindDoc="0" locked="0" layoutInCell="1" allowOverlap="1" wp14:anchorId="7D25A211" wp14:editId="088264C8">
              <wp:simplePos x="0" y="0"/>
              <wp:positionH relativeFrom="margin">
                <wp:posOffset>2415264</wp:posOffset>
              </wp:positionH>
              <wp:positionV relativeFrom="paragraph">
                <wp:posOffset>1933</wp:posOffset>
              </wp:positionV>
              <wp:extent cx="1129085" cy="230587"/>
              <wp:effectExtent l="0" t="0" r="13970" b="0"/>
              <wp:wrapNone/>
              <wp:docPr id="109" name="文本框 109"/>
              <wp:cNvGraphicFramePr/>
              <a:graphic xmlns:a="http://schemas.openxmlformats.org/drawingml/2006/main">
                <a:graphicData uri="http://schemas.microsoft.com/office/word/2010/wordprocessingShape">
                  <wps:wsp>
                    <wps:cNvSpPr txBox="1"/>
                    <wps:spPr>
                      <a:xfrm>
                        <a:off x="0" y="0"/>
                        <a:ext cx="1129085" cy="23058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6CA16" w14:textId="5DB049E4" w:rsidR="00446207" w:rsidRDefault="00000000">
                          <w:pPr>
                            <w:pStyle w:val="a9"/>
                          </w:pPr>
                          <w:r>
                            <w:t xml:space="preserve">第 </w:t>
                          </w:r>
                          <w:r>
                            <w:fldChar w:fldCharType="begin"/>
                          </w:r>
                          <w:r>
                            <w:instrText xml:space="preserve"> PAGE  \* MERGEFORMAT </w:instrText>
                          </w:r>
                          <w:r>
                            <w:fldChar w:fldCharType="separate"/>
                          </w:r>
                          <w:r>
                            <w:t>1</w:t>
                          </w:r>
                          <w:r>
                            <w:fldChar w:fldCharType="end"/>
                          </w:r>
                          <w:r>
                            <w:t xml:space="preserve"> 页 共 </w:t>
                          </w:r>
                          <w:r w:rsidR="007A7D8B">
                            <w:rPr>
                              <w:rFonts w:hint="eastAsia"/>
                            </w:rPr>
                            <w:t>8</w:t>
                          </w:r>
                          <w:r w:rsidR="00F702A5">
                            <w:rPr>
                              <w:rFonts w:hint="eastAsia"/>
                            </w:rPr>
                            <w:t>9</w:t>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7D25A211" id="_x0000_t202" coordsize="21600,21600" o:spt="202" path="m,l,21600r21600,l21600,xe">
              <v:stroke joinstyle="miter"/>
              <v:path gradientshapeok="t" o:connecttype="rect"/>
            </v:shapetype>
            <v:shape id="文本框 109" o:spid="_x0000_s1037" type="#_x0000_t202" style="position:absolute;margin-left:190.2pt;margin-top:.15pt;width:88.9pt;height:18.1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" filled="f" stroked="f" strokeweight=".5pt">
              <v:textbox inset="0,0,0,0">
                <w:txbxContent>
                  <w:p w14:paraId="1CF6CA16" w14:textId="5DB049E4" w:rsidR="00446207" w:rsidRDefault="00000000">
                    <w:pPr>
                      <w:pStyle w:val="a9"/>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rsidR="007A7D8B">
                      <w:rPr>
                        <w:rFonts w:hint="eastAsia"/>
                      </w:rPr>
                      <w:t>8</w:t>
                    </w:r>
                    <w:r w:rsidR="00F702A5">
                      <w:rPr>
                        <w:rFonts w:hint="eastAsia"/>
                      </w:rPr>
                      <w:t>9</w:t>
                    </w:r>
                    <w:r>
                      <w:t xml:space="preserve"> 页</w:t>
                    </w:r>
                  </w:p>
                </w:txbxContent>
              </v:textbox>
              <w10:wrap anchorx="margin"/>
            </v:shape>
          </w:pict>
        </mc:Fallback>
      </mc:AlternateConten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left"/>
    </w:pPr>
    <w:r>
      <w:rPr>
        <w:rFonts w:ascii="宋体" w:hAnsi="宋体" w:eastAsia="宋体"/>
        <w:color w:val="595959"/>
        <w:sz w:val="14"/>
      </w:rPr>
      <w:t>本报告由绿石科技（GreenStone AI）根据用户提供的资料编制 · info@GreenStoneESG.com · 生成于 2026年09月02日</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9070" w:val="right"/>
      </w:tabs>
      <w:spacing w:after="0"/>
      <w:jc w:val="left"/>
    </w:pPr>
    <w:r>
      <w:rPr>
        <w:rFonts w:ascii="宋体" w:hAnsi="宋体" w:eastAsia="宋体"/>
        <w:color w:val="595959"/>
        <w:sz w:val="14"/>
      </w:rPr>
      <w:t>本报告由绿石科技（GreenStone AI）根据用户提供的资料编制 · info@GreenStoneESG.com · 生成于 2026年09月02日</w:t>
    </w:r>
    <w:r>
      <w:tab/>
    </w:r>
    <w:r>
      <w:rPr>
        <w:rFonts w:ascii="宋体" w:hAnsi="宋体" w:eastAsia="宋体"/>
        <w:color w:val="595959"/>
        <w:sz w:val="14"/>
      </w:rPr>
      <w:t xml:space="preserve">第 </w:t>
    </w:r>
    <w:r>
      <w:fldChar w:fldCharType="begin"/>
    </w:r>
    <w:r>
      <w:instrText xml:space="preserve"> PAGE </w:instrText>
    </w:r>
    <w:r>
      <w:fldChar w:fldCharType="separate"/>
    </w:r>
    <w:r>
      <w:t>1</w:t>
    </w:r>
    <w:r>
      <w:fldChar w:fldCharType="end"/>
    </w:r>
    <w:r>
      <w:rPr>
        <w:rFonts w:ascii="宋体" w:hAnsi="宋体" w:eastAsia="宋体"/>
        <w:color w:val="595959"/>
        <w:sz w:val="1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B07C9" w14:textId="77777777" w:rsidR="00B616DC" w:rsidRDefault="00B616DC">
      <w:pPr>
        <w:spacing w:after="0"/>
      </w:pPr>
      <w:r>
        <w:separator/>
      </w:r>
    </w:p>
  </w:footnote>
  <w:footnote w:type="continuationSeparator" w:id="0">
    <w:p w14:paraId="70647A83" w14:textId="77777777" w:rsidR="00B616DC" w:rsidRDefault="00B616D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FDC11F"/>
    <w:multiLevelType w:val="singleLevel"/>
    <w:tmpl w:val="8FFDC11F"/>
    <w:lvl w:ilvl="0">
      <w:start w:val="2"/>
      <w:numFmt w:val="chineseCounting"/>
      <w:suff w:val="nothing"/>
      <w:lvlText w:val="%1、"/>
      <w:lvlJc w:val="left"/>
      <w:rPr>
        <w:rFonts w:hint="eastAsia"/>
      </w:rPr>
    </w:lvl>
  </w:abstractNum>
  <w:abstractNum w:abstractNumId="1" w15:restartNumberingAfterBreak="0">
    <w:nsid w:val="EC1CC3DB"/>
    <w:multiLevelType w:val="singleLevel"/>
    <w:tmpl w:val="EC1CC3DB"/>
    <w:lvl w:ilvl="0">
      <w:start w:val="5"/>
      <w:numFmt w:val="decimal"/>
      <w:suff w:val="nothing"/>
      <w:lvlText w:val="%1、"/>
      <w:lvlJc w:val="left"/>
    </w:lvl>
  </w:abstractNum>
  <w:abstractNum w:abstractNumId="2" w15:restartNumberingAfterBreak="0">
    <w:nsid w:val="FBFEAE2B"/>
    <w:multiLevelType w:val="singleLevel"/>
    <w:tmpl w:val="FBFEAE2B"/>
    <w:lvl w:ilvl="0">
      <w:start w:val="1"/>
      <w:numFmt w:val="bullet"/>
      <w:lvlText w:val=""/>
      <w:lvlJc w:val="left"/>
      <w:pPr>
        <w:ind w:left="420" w:hanging="420"/>
      </w:pPr>
      <w:rPr>
        <w:rFonts w:ascii="Wingdings" w:hAnsi="Wingdings" w:hint="default"/>
      </w:rPr>
    </w:lvl>
  </w:abstractNum>
  <w:abstractNum w:abstractNumId="3" w15:restartNumberingAfterBreak="0">
    <w:nsid w:val="018452AE"/>
    <w:multiLevelType w:val="hybridMultilevel"/>
    <w:tmpl w:val="34589EB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021D37E5"/>
    <w:multiLevelType w:val="multilevel"/>
    <w:tmpl w:val="021D37E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 w15:restartNumberingAfterBreak="0">
    <w:nsid w:val="0364341B"/>
    <w:multiLevelType w:val="multilevel"/>
    <w:tmpl w:val="0364341B"/>
    <w:lvl w:ilvl="0">
      <w:start w:val="2"/>
      <w:numFmt w:val="decimal"/>
      <w:lvlText w:val="%1."/>
      <w:lvlJc w:val="left"/>
      <w:pPr>
        <w:tabs>
          <w:tab w:val="left" w:pos="720"/>
        </w:tabs>
        <w:ind w:left="720" w:hanging="360"/>
      </w:pPr>
      <w:rPr>
        <w:rFonts w:hint="eastAsia"/>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6" w15:restartNumberingAfterBreak="0">
    <w:nsid w:val="04666505"/>
    <w:multiLevelType w:val="multilevel"/>
    <w:tmpl w:val="0466650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4F0246C"/>
    <w:multiLevelType w:val="hybridMultilevel"/>
    <w:tmpl w:val="B0C61886"/>
    <w:lvl w:ilvl="0" w:tplc="01C2C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8E27C9F"/>
    <w:multiLevelType w:val="hybridMultilevel"/>
    <w:tmpl w:val="CC6A998E"/>
    <w:lvl w:ilvl="0" w:tplc="87B253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0ABF75E8"/>
    <w:multiLevelType w:val="multilevel"/>
    <w:tmpl w:val="0ABF75E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ECF421A"/>
    <w:multiLevelType w:val="multilevel"/>
    <w:tmpl w:val="0ECF421A"/>
    <w:lvl w:ilvl="0">
      <w:start w:val="1"/>
      <w:numFmt w:val="bullet"/>
      <w:lvlText w:val="·"/>
      <w:lvlJc w:val="left"/>
      <w:pPr>
        <w:ind w:left="440" w:hanging="440"/>
      </w:pPr>
      <w:rPr>
        <w:rFonts w:ascii="宋体" w:eastAsia="宋体" w:hAnsi="宋体" w:cs="宋体"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15:restartNumberingAfterBreak="0">
    <w:nsid w:val="129103C9"/>
    <w:multiLevelType w:val="multilevel"/>
    <w:tmpl w:val="DAC42302"/>
    <w:lvl w:ilvl="0">
      <w:start w:val="1"/>
      <w:numFmt w:val="decimal"/>
      <w:pStyle w:val="1"/>
      <w:lvlText w:val="%1"/>
      <w:lvlJc w:val="left"/>
      <w:pPr>
        <w:ind w:left="425" w:hanging="425"/>
      </w:pPr>
      <w:rPr>
        <w:rFonts w:hint="eastAsia"/>
      </w:rPr>
    </w:lvl>
    <w:lvl w:ilvl="1">
      <w:start w:val="1"/>
      <w:numFmt w:val="decimal"/>
      <w:pStyle w:val="2"/>
      <w:lvlText w:val="%1.%2"/>
      <w:lvlJc w:val="left"/>
      <w:pPr>
        <w:ind w:left="567" w:hanging="567"/>
      </w:pPr>
      <w:rPr>
        <w:rFonts w:hint="eastAsia"/>
        <w:b/>
        <w:bCs/>
      </w:rPr>
    </w:lvl>
    <w:lvl w:ilvl="2">
      <w:start w:val="1"/>
      <w:numFmt w:val="decimal"/>
      <w:pStyle w:val="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14D96AA3"/>
    <w:multiLevelType w:val="multilevel"/>
    <w:tmpl w:val="5A3C12AE"/>
    <w:lvl w:ilvl="0">
      <w:start w:val="1"/>
      <w:numFmt w:val="decimal"/>
      <w:lvlText w:val="%1."/>
      <w:lvlJc w:val="left"/>
      <w:pPr>
        <w:ind w:left="800" w:hanging="360"/>
      </w:pPr>
      <w:rPr>
        <w:rFonts w:hint="default"/>
      </w:rPr>
    </w:lvl>
    <w:lvl w:ilvl="1">
      <w:start w:val="1"/>
      <w:numFmt w:val="decimal"/>
      <w:isLgl/>
      <w:lvlText w:val="%1.%2"/>
      <w:lvlJc w:val="left"/>
      <w:pPr>
        <w:ind w:left="932" w:hanging="492"/>
      </w:pPr>
      <w:rPr>
        <w:rFonts w:hint="default"/>
      </w:rPr>
    </w:lvl>
    <w:lvl w:ilvl="2">
      <w:start w:val="1"/>
      <w:numFmt w:val="decimal"/>
      <w:isLgl/>
      <w:lvlText w:val="%1.%2.%3"/>
      <w:lvlJc w:val="left"/>
      <w:pPr>
        <w:ind w:left="1160" w:hanging="720"/>
      </w:pPr>
      <w:rPr>
        <w:rFonts w:hint="default"/>
      </w:rPr>
    </w:lvl>
    <w:lvl w:ilvl="3">
      <w:start w:val="1"/>
      <w:numFmt w:val="decimal"/>
      <w:isLgl/>
      <w:lvlText w:val="%1.%2.%3.%4"/>
      <w:lvlJc w:val="left"/>
      <w:pPr>
        <w:ind w:left="1520" w:hanging="108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880" w:hanging="1440"/>
      </w:pPr>
      <w:rPr>
        <w:rFonts w:hint="default"/>
      </w:rPr>
    </w:lvl>
    <w:lvl w:ilvl="6">
      <w:start w:val="1"/>
      <w:numFmt w:val="decimal"/>
      <w:isLgl/>
      <w:lvlText w:val="%1.%2.%3.%4.%5.%6.%7"/>
      <w:lvlJc w:val="left"/>
      <w:pPr>
        <w:ind w:left="2240" w:hanging="1800"/>
      </w:pPr>
      <w:rPr>
        <w:rFonts w:hint="default"/>
      </w:rPr>
    </w:lvl>
    <w:lvl w:ilvl="7">
      <w:start w:val="1"/>
      <w:numFmt w:val="decimal"/>
      <w:isLgl/>
      <w:lvlText w:val="%1.%2.%3.%4.%5.%6.%7.%8"/>
      <w:lvlJc w:val="left"/>
      <w:pPr>
        <w:ind w:left="2240" w:hanging="1800"/>
      </w:pPr>
      <w:rPr>
        <w:rFonts w:hint="default"/>
      </w:rPr>
    </w:lvl>
    <w:lvl w:ilvl="8">
      <w:start w:val="1"/>
      <w:numFmt w:val="decimal"/>
      <w:isLgl/>
      <w:lvlText w:val="%1.%2.%3.%4.%5.%6.%7.%8.%9"/>
      <w:lvlJc w:val="left"/>
      <w:pPr>
        <w:ind w:left="2600" w:hanging="2160"/>
      </w:pPr>
      <w:rPr>
        <w:rFonts w:hint="default"/>
      </w:rPr>
    </w:lvl>
  </w:abstractNum>
  <w:abstractNum w:abstractNumId="13" w15:restartNumberingAfterBreak="0">
    <w:nsid w:val="15D716A5"/>
    <w:multiLevelType w:val="hybridMultilevel"/>
    <w:tmpl w:val="3F0C3E26"/>
    <w:lvl w:ilvl="0" w:tplc="7F1A9096">
      <w:start w:val="1"/>
      <w:numFmt w:val="decimal"/>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16B55C5D"/>
    <w:multiLevelType w:val="hybridMultilevel"/>
    <w:tmpl w:val="C5A24F14"/>
    <w:lvl w:ilvl="0" w:tplc="C854F74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1AC36C78"/>
    <w:multiLevelType w:val="multilevel"/>
    <w:tmpl w:val="1AC36C7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BC04B45"/>
    <w:multiLevelType w:val="multilevel"/>
    <w:tmpl w:val="1BC04B4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7" w15:restartNumberingAfterBreak="0">
    <w:nsid w:val="1E960B03"/>
    <w:multiLevelType w:val="multilevel"/>
    <w:tmpl w:val="1E960B03"/>
    <w:lvl w:ilvl="0">
      <w:start w:val="1"/>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24F450C0"/>
    <w:multiLevelType w:val="hybridMultilevel"/>
    <w:tmpl w:val="2C506DD0"/>
    <w:lvl w:ilvl="0" w:tplc="EB54A3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27D133B4"/>
    <w:multiLevelType w:val="hybridMultilevel"/>
    <w:tmpl w:val="C53AB5F8"/>
    <w:lvl w:ilvl="0" w:tplc="D9D8C7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385312E"/>
    <w:multiLevelType w:val="multilevel"/>
    <w:tmpl w:val="3385312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1" w15:restartNumberingAfterBreak="0">
    <w:nsid w:val="36CF5056"/>
    <w:multiLevelType w:val="multilevel"/>
    <w:tmpl w:val="36CF5056"/>
    <w:lvl w:ilvl="0">
      <w:start w:val="1"/>
      <w:numFmt w:val="bullet"/>
      <w:lvlText w:val="·"/>
      <w:lvlJc w:val="left"/>
      <w:pPr>
        <w:ind w:left="1880" w:hanging="440"/>
      </w:pPr>
      <w:rPr>
        <w:rFonts w:ascii="宋体" w:eastAsia="宋体" w:hAnsi="宋体" w:cs="宋体" w:hint="default"/>
      </w:rPr>
    </w:lvl>
    <w:lvl w:ilvl="1">
      <w:start w:val="1"/>
      <w:numFmt w:val="bullet"/>
      <w:lvlText w:val=""/>
      <w:lvlJc w:val="left"/>
      <w:pPr>
        <w:ind w:left="2320" w:hanging="440"/>
      </w:pPr>
      <w:rPr>
        <w:rFonts w:ascii="Wingdings" w:hAnsi="Wingdings" w:hint="default"/>
      </w:rPr>
    </w:lvl>
    <w:lvl w:ilvl="2">
      <w:start w:val="1"/>
      <w:numFmt w:val="bullet"/>
      <w:lvlText w:val=""/>
      <w:lvlJc w:val="left"/>
      <w:pPr>
        <w:ind w:left="2760" w:hanging="440"/>
      </w:pPr>
      <w:rPr>
        <w:rFonts w:ascii="Wingdings" w:hAnsi="Wingdings" w:hint="default"/>
      </w:rPr>
    </w:lvl>
    <w:lvl w:ilvl="3">
      <w:start w:val="1"/>
      <w:numFmt w:val="bullet"/>
      <w:lvlText w:val=""/>
      <w:lvlJc w:val="left"/>
      <w:pPr>
        <w:ind w:left="3200" w:hanging="440"/>
      </w:pPr>
      <w:rPr>
        <w:rFonts w:ascii="Wingdings" w:hAnsi="Wingdings" w:hint="default"/>
      </w:rPr>
    </w:lvl>
    <w:lvl w:ilvl="4">
      <w:start w:val="1"/>
      <w:numFmt w:val="bullet"/>
      <w:lvlText w:val=""/>
      <w:lvlJc w:val="left"/>
      <w:pPr>
        <w:ind w:left="3640" w:hanging="440"/>
      </w:pPr>
      <w:rPr>
        <w:rFonts w:ascii="Wingdings" w:hAnsi="Wingdings" w:hint="default"/>
      </w:rPr>
    </w:lvl>
    <w:lvl w:ilvl="5">
      <w:start w:val="1"/>
      <w:numFmt w:val="bullet"/>
      <w:lvlText w:val=""/>
      <w:lvlJc w:val="left"/>
      <w:pPr>
        <w:ind w:left="4080" w:hanging="440"/>
      </w:pPr>
      <w:rPr>
        <w:rFonts w:ascii="Wingdings" w:hAnsi="Wingdings" w:hint="default"/>
      </w:rPr>
    </w:lvl>
    <w:lvl w:ilvl="6">
      <w:start w:val="1"/>
      <w:numFmt w:val="bullet"/>
      <w:lvlText w:val=""/>
      <w:lvlJc w:val="left"/>
      <w:pPr>
        <w:ind w:left="4520" w:hanging="440"/>
      </w:pPr>
      <w:rPr>
        <w:rFonts w:ascii="Wingdings" w:hAnsi="Wingdings" w:hint="default"/>
      </w:rPr>
    </w:lvl>
    <w:lvl w:ilvl="7">
      <w:start w:val="1"/>
      <w:numFmt w:val="bullet"/>
      <w:lvlText w:val=""/>
      <w:lvlJc w:val="left"/>
      <w:pPr>
        <w:ind w:left="4960" w:hanging="440"/>
      </w:pPr>
      <w:rPr>
        <w:rFonts w:ascii="Wingdings" w:hAnsi="Wingdings" w:hint="default"/>
      </w:rPr>
    </w:lvl>
    <w:lvl w:ilvl="8">
      <w:start w:val="1"/>
      <w:numFmt w:val="bullet"/>
      <w:lvlText w:val=""/>
      <w:lvlJc w:val="left"/>
      <w:pPr>
        <w:ind w:left="5400" w:hanging="440"/>
      </w:pPr>
      <w:rPr>
        <w:rFonts w:ascii="Wingdings" w:hAnsi="Wingdings" w:hint="default"/>
      </w:rPr>
    </w:lvl>
  </w:abstractNum>
  <w:abstractNum w:abstractNumId="22" w15:restartNumberingAfterBreak="0">
    <w:nsid w:val="3A78593B"/>
    <w:multiLevelType w:val="multilevel"/>
    <w:tmpl w:val="3A78593B"/>
    <w:lvl w:ilvl="0">
      <w:start w:val="1"/>
      <w:numFmt w:val="decimal"/>
      <w:lvlText w:val="%1."/>
      <w:lvlJc w:val="left"/>
      <w:pPr>
        <w:tabs>
          <w:tab w:val="left" w:pos="720"/>
        </w:tabs>
        <w:ind w:left="720" w:hanging="360"/>
      </w:pPr>
    </w:lvl>
    <w:lvl w:ilvl="1">
      <w:start w:val="1"/>
      <w:numFmt w:val="japaneseCounting"/>
      <w:lvlText w:val="%2、"/>
      <w:lvlJc w:val="left"/>
      <w:pPr>
        <w:ind w:left="1584" w:hanging="504"/>
      </w:pPr>
      <w:rPr>
        <w:rFonts w:hint="default"/>
        <w:b/>
      </w:rPr>
    </w:lvl>
    <w:lvl w:ilvl="2">
      <w:start w:val="1"/>
      <w:numFmt w:val="japaneseCounting"/>
      <w:lvlText w:val="%3．"/>
      <w:lvlJc w:val="left"/>
      <w:pPr>
        <w:ind w:left="2520" w:hanging="72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40ED0695"/>
    <w:multiLevelType w:val="multilevel"/>
    <w:tmpl w:val="40ED069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4" w15:restartNumberingAfterBreak="0">
    <w:nsid w:val="43974075"/>
    <w:multiLevelType w:val="hybridMultilevel"/>
    <w:tmpl w:val="5972C3F4"/>
    <w:lvl w:ilvl="0" w:tplc="71FA263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4C657C71"/>
    <w:multiLevelType w:val="hybridMultilevel"/>
    <w:tmpl w:val="C0786F34"/>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26" w15:restartNumberingAfterBreak="0">
    <w:nsid w:val="4CFE7A05"/>
    <w:multiLevelType w:val="multilevel"/>
    <w:tmpl w:val="4CFE7A0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7" w15:restartNumberingAfterBreak="0">
    <w:nsid w:val="4D805E5C"/>
    <w:multiLevelType w:val="hybridMultilevel"/>
    <w:tmpl w:val="5016CF36"/>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28" w15:restartNumberingAfterBreak="0">
    <w:nsid w:val="4F1350BE"/>
    <w:multiLevelType w:val="multilevel"/>
    <w:tmpl w:val="4F1350B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9" w15:restartNumberingAfterBreak="0">
    <w:nsid w:val="4F66519C"/>
    <w:multiLevelType w:val="hybridMultilevel"/>
    <w:tmpl w:val="B47207EC"/>
    <w:lvl w:ilvl="0" w:tplc="A8B6FD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12421CE"/>
    <w:multiLevelType w:val="hybridMultilevel"/>
    <w:tmpl w:val="2ECEEF9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1" w15:restartNumberingAfterBreak="0">
    <w:nsid w:val="56A70479"/>
    <w:multiLevelType w:val="multilevel"/>
    <w:tmpl w:val="56A70479"/>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2" w15:restartNumberingAfterBreak="0">
    <w:nsid w:val="58DE016E"/>
    <w:multiLevelType w:val="multilevel"/>
    <w:tmpl w:val="58DE016E"/>
    <w:lvl w:ilvl="0">
      <w:start w:val="1"/>
      <w:numFmt w:val="decimal"/>
      <w:lvlText w:val="%1."/>
      <w:lvlJc w:val="left"/>
      <w:pPr>
        <w:tabs>
          <w:tab w:val="left" w:pos="720"/>
        </w:tabs>
        <w:ind w:left="720" w:hanging="360"/>
      </w:pPr>
    </w:lvl>
    <w:lvl w:ilvl="1">
      <w:start w:val="1"/>
      <w:numFmt w:val="decimal"/>
      <w:lvlText w:val="（%2）"/>
      <w:lvlJc w:val="left"/>
      <w:pPr>
        <w:ind w:left="1800" w:hanging="720"/>
      </w:pPr>
      <w:rPr>
        <w:rFonts w:asciiTheme="minorHAnsi" w:eastAsiaTheme="minorEastAsia" w:hAnsiTheme="minorHAnsi" w:cstheme="minorBidi" w:hint="default"/>
        <w:color w:val="000000" w:themeColor="text1"/>
        <w:sz w:val="22"/>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5A466FEE"/>
    <w:multiLevelType w:val="hybridMultilevel"/>
    <w:tmpl w:val="A474782A"/>
    <w:lvl w:ilvl="0" w:tplc="D296664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5B5F199D"/>
    <w:multiLevelType w:val="hybridMultilevel"/>
    <w:tmpl w:val="7640E716"/>
    <w:lvl w:ilvl="0" w:tplc="0F6C1E52">
      <w:start w:val="1"/>
      <w:numFmt w:val="decimal"/>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35" w15:restartNumberingAfterBreak="0">
    <w:nsid w:val="5E1522F4"/>
    <w:multiLevelType w:val="multilevel"/>
    <w:tmpl w:val="5E1522F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FAC14A6"/>
    <w:multiLevelType w:val="multilevel"/>
    <w:tmpl w:val="F7AE9204"/>
    <w:lvl w:ilvl="0">
      <w:start w:val="1"/>
      <w:numFmt w:val="decimal"/>
      <w:lvlText w:val="%1."/>
      <w:lvlJc w:val="left"/>
      <w:pPr>
        <w:ind w:left="360" w:hanging="360"/>
      </w:pPr>
      <w:rPr>
        <w:rFonts w:hint="default"/>
      </w:rPr>
    </w:lvl>
    <w:lvl w:ilvl="1">
      <w:start w:val="2"/>
      <w:numFmt w:val="decimal"/>
      <w:isLgl/>
      <w:lvlText w:val="%1.%2"/>
      <w:lvlJc w:val="left"/>
      <w:pPr>
        <w:ind w:left="492" w:hanging="49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694A0406"/>
    <w:multiLevelType w:val="multilevel"/>
    <w:tmpl w:val="694A0406"/>
    <w:lvl w:ilvl="0">
      <w:start w:val="1"/>
      <w:numFmt w:val="decimal"/>
      <w:pStyle w:val="ZSD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8" w15:restartNumberingAfterBreak="0">
    <w:nsid w:val="6A2C57AB"/>
    <w:multiLevelType w:val="multilevel"/>
    <w:tmpl w:val="6A2C57AB"/>
    <w:lvl w:ilvl="0">
      <w:start w:val="1"/>
      <w:numFmt w:val="bullet"/>
      <w:lvlText w:val="·"/>
      <w:lvlJc w:val="left"/>
      <w:pPr>
        <w:ind w:left="1160" w:hanging="440"/>
      </w:pPr>
      <w:rPr>
        <w:rFonts w:ascii="宋体" w:eastAsia="宋体" w:hAnsi="宋体" w:cs="宋体" w:hint="default"/>
      </w:rPr>
    </w:lvl>
    <w:lvl w:ilvl="1">
      <w:start w:val="1"/>
      <w:numFmt w:val="bullet"/>
      <w:lvlText w:val=""/>
      <w:lvlJc w:val="left"/>
      <w:pPr>
        <w:ind w:left="1600" w:hanging="440"/>
      </w:pPr>
      <w:rPr>
        <w:rFonts w:ascii="Wingdings" w:hAnsi="Wingdings" w:hint="default"/>
      </w:rPr>
    </w:lvl>
    <w:lvl w:ilvl="2">
      <w:start w:val="1"/>
      <w:numFmt w:val="bullet"/>
      <w:lvlText w:val=""/>
      <w:lvlJc w:val="left"/>
      <w:pPr>
        <w:ind w:left="2040" w:hanging="440"/>
      </w:pPr>
      <w:rPr>
        <w:rFonts w:ascii="Wingdings" w:hAnsi="Wingdings" w:hint="default"/>
      </w:rPr>
    </w:lvl>
    <w:lvl w:ilvl="3">
      <w:start w:val="1"/>
      <w:numFmt w:val="bullet"/>
      <w:lvlText w:val=""/>
      <w:lvlJc w:val="left"/>
      <w:pPr>
        <w:ind w:left="2480" w:hanging="440"/>
      </w:pPr>
      <w:rPr>
        <w:rFonts w:ascii="Wingdings" w:hAnsi="Wingdings" w:hint="default"/>
      </w:rPr>
    </w:lvl>
    <w:lvl w:ilvl="4">
      <w:start w:val="1"/>
      <w:numFmt w:val="bullet"/>
      <w:lvlText w:val=""/>
      <w:lvlJc w:val="left"/>
      <w:pPr>
        <w:ind w:left="2920" w:hanging="440"/>
      </w:pPr>
      <w:rPr>
        <w:rFonts w:ascii="Wingdings" w:hAnsi="Wingdings" w:hint="default"/>
      </w:rPr>
    </w:lvl>
    <w:lvl w:ilvl="5">
      <w:start w:val="1"/>
      <w:numFmt w:val="bullet"/>
      <w:lvlText w:val=""/>
      <w:lvlJc w:val="left"/>
      <w:pPr>
        <w:ind w:left="3360" w:hanging="440"/>
      </w:pPr>
      <w:rPr>
        <w:rFonts w:ascii="Wingdings" w:hAnsi="Wingdings" w:hint="default"/>
      </w:rPr>
    </w:lvl>
    <w:lvl w:ilvl="6">
      <w:start w:val="1"/>
      <w:numFmt w:val="bullet"/>
      <w:lvlText w:val=""/>
      <w:lvlJc w:val="left"/>
      <w:pPr>
        <w:ind w:left="3800" w:hanging="440"/>
      </w:pPr>
      <w:rPr>
        <w:rFonts w:ascii="Wingdings" w:hAnsi="Wingdings" w:hint="default"/>
      </w:rPr>
    </w:lvl>
    <w:lvl w:ilvl="7">
      <w:start w:val="1"/>
      <w:numFmt w:val="bullet"/>
      <w:lvlText w:val=""/>
      <w:lvlJc w:val="left"/>
      <w:pPr>
        <w:ind w:left="4240" w:hanging="440"/>
      </w:pPr>
      <w:rPr>
        <w:rFonts w:ascii="Wingdings" w:hAnsi="Wingdings" w:hint="default"/>
      </w:rPr>
    </w:lvl>
    <w:lvl w:ilvl="8">
      <w:start w:val="1"/>
      <w:numFmt w:val="bullet"/>
      <w:lvlText w:val=""/>
      <w:lvlJc w:val="left"/>
      <w:pPr>
        <w:ind w:left="4680" w:hanging="440"/>
      </w:pPr>
      <w:rPr>
        <w:rFonts w:ascii="Wingdings" w:hAnsi="Wingdings" w:hint="default"/>
      </w:rPr>
    </w:lvl>
  </w:abstractNum>
  <w:abstractNum w:abstractNumId="39" w15:restartNumberingAfterBreak="0">
    <w:nsid w:val="6C391633"/>
    <w:multiLevelType w:val="hybridMultilevel"/>
    <w:tmpl w:val="A936F77E"/>
    <w:lvl w:ilvl="0" w:tplc="40C2E77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0" w15:restartNumberingAfterBreak="0">
    <w:nsid w:val="70EF615E"/>
    <w:multiLevelType w:val="multilevel"/>
    <w:tmpl w:val="70EF615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76EC0611"/>
    <w:multiLevelType w:val="hybridMultilevel"/>
    <w:tmpl w:val="0630ACD2"/>
    <w:lvl w:ilvl="0" w:tplc="4D621D5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2" w15:restartNumberingAfterBreak="0">
    <w:nsid w:val="785B7A41"/>
    <w:multiLevelType w:val="hybridMultilevel"/>
    <w:tmpl w:val="B144323A"/>
    <w:lvl w:ilvl="0" w:tplc="8A3C9FE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797E2B79"/>
    <w:multiLevelType w:val="hybridMultilevel"/>
    <w:tmpl w:val="DBDC487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4" w15:restartNumberingAfterBreak="0">
    <w:nsid w:val="79DA1E47"/>
    <w:multiLevelType w:val="singleLevel"/>
    <w:tmpl w:val="79DA1E47"/>
    <w:lvl w:ilvl="0">
      <w:start w:val="1"/>
      <w:numFmt w:val="bullet"/>
      <w:lvlText w:val=""/>
      <w:lvlJc w:val="left"/>
      <w:pPr>
        <w:ind w:left="420" w:hanging="420"/>
      </w:pPr>
      <w:rPr>
        <w:rFonts w:ascii="Wingdings" w:hAnsi="Wingdings" w:hint="default"/>
      </w:rPr>
    </w:lvl>
  </w:abstractNum>
  <w:abstractNum w:abstractNumId="45" w15:restartNumberingAfterBreak="0">
    <w:nsid w:val="7A444CC1"/>
    <w:multiLevelType w:val="hybridMultilevel"/>
    <w:tmpl w:val="C8FE2DEC"/>
    <w:lvl w:ilvl="0" w:tplc="5600A17E">
      <w:start w:val="1"/>
      <w:numFmt w:val="decimal"/>
      <w:lvlText w:val="%1、"/>
      <w:lvlJc w:val="left"/>
      <w:pPr>
        <w:ind w:left="360" w:hanging="360"/>
      </w:pPr>
      <w:rPr>
        <w:rFonts w:hint="default"/>
      </w:rPr>
    </w:lvl>
    <w:lvl w:ilvl="1" w:tplc="1904012E">
      <w:start w:val="3"/>
      <w:numFmt w:val="decimal"/>
      <w:lvlText w:val="%2．"/>
      <w:lvlJc w:val="left"/>
      <w:pPr>
        <w:ind w:left="1160" w:hanging="72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7B6C28BF"/>
    <w:multiLevelType w:val="hybridMultilevel"/>
    <w:tmpl w:val="A5C63ECA"/>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47" w15:restartNumberingAfterBreak="0">
    <w:nsid w:val="7BF94801"/>
    <w:multiLevelType w:val="multilevel"/>
    <w:tmpl w:val="8864DABC"/>
    <w:lvl w:ilvl="0">
      <w:start w:val="1"/>
      <w:numFmt w:val="decimal"/>
      <w:lvlText w:val="%1."/>
      <w:lvlJc w:val="left"/>
      <w:pPr>
        <w:ind w:left="360" w:hanging="360"/>
      </w:pPr>
      <w:rPr>
        <w:rFonts w:hint="default"/>
      </w:rPr>
    </w:lvl>
    <w:lvl w:ilvl="1">
      <w:start w:val="1"/>
      <w:numFmt w:val="decimal"/>
      <w:isLgl/>
      <w:lvlText w:val="%1.%2"/>
      <w:lvlJc w:val="left"/>
      <w:pPr>
        <w:ind w:left="492" w:hanging="49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8">
    <w:lvl w:ilvl="0">
      <w:start w:val="1"/>
      <w:numFmt w:val="bullet"/>
      <w:lvlText w:val="•"/>
      <w:lvlJc w:val="left"/>
      <w:pPr>
        <w:ind w:left="560" w:hanging="280"/>
      </w:pPr>
    </w:lvl>
  </w:abstractNum>
  <w:abstractNum w:abstractNumId="49">
    <w:lvl w:ilvl="0">
      <w:start w:val="1"/>
      <w:numFmt w:val="decimal"/>
      <w:lvlText w:val="%1."/>
      <w:lvlJc w:val="left"/>
      <w:pPr>
        <w:ind w:left="560" w:hanging="280"/>
      </w:pPr>
    </w:lvl>
  </w:abstractNum>
  <w:num w:numId="1" w16cid:durableId="1300261361">
    <w:abstractNumId w:val="37"/>
  </w:num>
  <w:num w:numId="2" w16cid:durableId="1133791298">
    <w:abstractNumId w:val="0"/>
  </w:num>
  <w:num w:numId="3" w16cid:durableId="103233919">
    <w:abstractNumId w:val="20"/>
  </w:num>
  <w:num w:numId="4" w16cid:durableId="1861888329">
    <w:abstractNumId w:val="2"/>
  </w:num>
  <w:num w:numId="5" w16cid:durableId="1528448977">
    <w:abstractNumId w:val="44"/>
  </w:num>
  <w:num w:numId="6" w16cid:durableId="2134320749">
    <w:abstractNumId w:val="26"/>
  </w:num>
  <w:num w:numId="7" w16cid:durableId="1753507926">
    <w:abstractNumId w:val="4"/>
  </w:num>
  <w:num w:numId="8" w16cid:durableId="1232546313">
    <w:abstractNumId w:val="28"/>
  </w:num>
  <w:num w:numId="9" w16cid:durableId="1684741881">
    <w:abstractNumId w:val="35"/>
  </w:num>
  <w:num w:numId="10" w16cid:durableId="1200506350">
    <w:abstractNumId w:val="40"/>
  </w:num>
  <w:num w:numId="11" w16cid:durableId="678191206">
    <w:abstractNumId w:val="22"/>
  </w:num>
  <w:num w:numId="12" w16cid:durableId="130710140">
    <w:abstractNumId w:val="31"/>
  </w:num>
  <w:num w:numId="13" w16cid:durableId="415519109">
    <w:abstractNumId w:val="15"/>
  </w:num>
  <w:num w:numId="14" w16cid:durableId="1244804734">
    <w:abstractNumId w:val="38"/>
  </w:num>
  <w:num w:numId="15" w16cid:durableId="1313486251">
    <w:abstractNumId w:val="21"/>
  </w:num>
  <w:num w:numId="16" w16cid:durableId="798571907">
    <w:abstractNumId w:val="5"/>
  </w:num>
  <w:num w:numId="17" w16cid:durableId="1351107504">
    <w:abstractNumId w:val="23"/>
  </w:num>
  <w:num w:numId="18" w16cid:durableId="911623536">
    <w:abstractNumId w:val="9"/>
  </w:num>
  <w:num w:numId="19" w16cid:durableId="747264505">
    <w:abstractNumId w:val="32"/>
  </w:num>
  <w:num w:numId="20" w16cid:durableId="1109737237">
    <w:abstractNumId w:val="6"/>
  </w:num>
  <w:num w:numId="21" w16cid:durableId="740644096">
    <w:abstractNumId w:val="1"/>
  </w:num>
  <w:num w:numId="22" w16cid:durableId="133183614">
    <w:abstractNumId w:val="16"/>
  </w:num>
  <w:num w:numId="23" w16cid:durableId="2047680865">
    <w:abstractNumId w:val="10"/>
  </w:num>
  <w:num w:numId="24" w16cid:durableId="482161046">
    <w:abstractNumId w:val="17"/>
  </w:num>
  <w:num w:numId="25" w16cid:durableId="2013800543">
    <w:abstractNumId w:val="46"/>
  </w:num>
  <w:num w:numId="26" w16cid:durableId="1641571329">
    <w:abstractNumId w:val="27"/>
  </w:num>
  <w:num w:numId="27" w16cid:durableId="1818646218">
    <w:abstractNumId w:val="30"/>
  </w:num>
  <w:num w:numId="28" w16cid:durableId="358705021">
    <w:abstractNumId w:val="43"/>
  </w:num>
  <w:num w:numId="29" w16cid:durableId="335890193">
    <w:abstractNumId w:val="11"/>
  </w:num>
  <w:num w:numId="30" w16cid:durableId="91366490">
    <w:abstractNumId w:val="25"/>
  </w:num>
  <w:num w:numId="31" w16cid:durableId="835464047">
    <w:abstractNumId w:val="3"/>
  </w:num>
  <w:num w:numId="32" w16cid:durableId="805784359">
    <w:abstractNumId w:val="14"/>
  </w:num>
  <w:num w:numId="33" w16cid:durableId="1956016960">
    <w:abstractNumId w:val="41"/>
  </w:num>
  <w:num w:numId="34" w16cid:durableId="1040786925">
    <w:abstractNumId w:val="13"/>
  </w:num>
  <w:num w:numId="35" w16cid:durableId="1927690317">
    <w:abstractNumId w:val="39"/>
  </w:num>
  <w:num w:numId="36" w16cid:durableId="1988897031">
    <w:abstractNumId w:val="45"/>
  </w:num>
  <w:num w:numId="37" w16cid:durableId="424114792">
    <w:abstractNumId w:val="12"/>
  </w:num>
  <w:num w:numId="38" w16cid:durableId="690640945">
    <w:abstractNumId w:val="36"/>
  </w:num>
  <w:num w:numId="39" w16cid:durableId="1887793188">
    <w:abstractNumId w:val="19"/>
  </w:num>
  <w:num w:numId="40" w16cid:durableId="1448311245">
    <w:abstractNumId w:val="34"/>
  </w:num>
  <w:num w:numId="41" w16cid:durableId="1670521873">
    <w:abstractNumId w:val="29"/>
  </w:num>
  <w:num w:numId="42" w16cid:durableId="547257304">
    <w:abstractNumId w:val="47"/>
  </w:num>
  <w:num w:numId="43" w16cid:durableId="852767666">
    <w:abstractNumId w:val="7"/>
  </w:num>
  <w:num w:numId="44" w16cid:durableId="2088646108">
    <w:abstractNumId w:val="33"/>
  </w:num>
  <w:num w:numId="45" w16cid:durableId="2062825650">
    <w:abstractNumId w:val="8"/>
  </w:num>
  <w:num w:numId="46" w16cid:durableId="66731411">
    <w:abstractNumId w:val="18"/>
  </w:num>
  <w:num w:numId="47" w16cid:durableId="2111930330">
    <w:abstractNumId w:val="11"/>
  </w:num>
  <w:num w:numId="48" w16cid:durableId="1054622191">
    <w:abstractNumId w:val="24"/>
  </w:num>
  <w:num w:numId="49" w16cid:durableId="1846551752">
    <w:abstractNumId w:val="42"/>
  </w:num>
  <w:num w:numId="50">
    <w:abstractNumId w:val="48"/>
  </w:num>
  <w:num w:numId="51">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hideSpellingErrors/>
  <w:hideGrammaticalErrors/>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332"/>
    <w:rsid w:val="00000391"/>
    <w:rsid w:val="0000054B"/>
    <w:rsid w:val="000005A6"/>
    <w:rsid w:val="00000B25"/>
    <w:rsid w:val="00000CD6"/>
    <w:rsid w:val="00000D4C"/>
    <w:rsid w:val="00000F00"/>
    <w:rsid w:val="000010C1"/>
    <w:rsid w:val="000016F9"/>
    <w:rsid w:val="0000178A"/>
    <w:rsid w:val="000017BC"/>
    <w:rsid w:val="00001821"/>
    <w:rsid w:val="00001A7D"/>
    <w:rsid w:val="00001A91"/>
    <w:rsid w:val="00001C73"/>
    <w:rsid w:val="000022DC"/>
    <w:rsid w:val="00002712"/>
    <w:rsid w:val="00002BDA"/>
    <w:rsid w:val="00002F7B"/>
    <w:rsid w:val="0000331C"/>
    <w:rsid w:val="00003482"/>
    <w:rsid w:val="000035EE"/>
    <w:rsid w:val="00003B3B"/>
    <w:rsid w:val="00003B9B"/>
    <w:rsid w:val="00003E64"/>
    <w:rsid w:val="00004033"/>
    <w:rsid w:val="0000411B"/>
    <w:rsid w:val="00004299"/>
    <w:rsid w:val="0000449C"/>
    <w:rsid w:val="000048FB"/>
    <w:rsid w:val="00004E36"/>
    <w:rsid w:val="00004EE6"/>
    <w:rsid w:val="0000537A"/>
    <w:rsid w:val="0000577A"/>
    <w:rsid w:val="00005F8F"/>
    <w:rsid w:val="0000619E"/>
    <w:rsid w:val="000061A0"/>
    <w:rsid w:val="00006319"/>
    <w:rsid w:val="00006984"/>
    <w:rsid w:val="00006A28"/>
    <w:rsid w:val="00006C58"/>
    <w:rsid w:val="00006EB6"/>
    <w:rsid w:val="00007017"/>
    <w:rsid w:val="000073AB"/>
    <w:rsid w:val="00007616"/>
    <w:rsid w:val="000076B6"/>
    <w:rsid w:val="00007B2B"/>
    <w:rsid w:val="00007FAC"/>
    <w:rsid w:val="00010018"/>
    <w:rsid w:val="0001009B"/>
    <w:rsid w:val="000100A5"/>
    <w:rsid w:val="000104C5"/>
    <w:rsid w:val="000104F1"/>
    <w:rsid w:val="0001061E"/>
    <w:rsid w:val="000112EE"/>
    <w:rsid w:val="00011B97"/>
    <w:rsid w:val="00011F6D"/>
    <w:rsid w:val="00012076"/>
    <w:rsid w:val="000123E9"/>
    <w:rsid w:val="00012714"/>
    <w:rsid w:val="00012944"/>
    <w:rsid w:val="00013124"/>
    <w:rsid w:val="00013591"/>
    <w:rsid w:val="000136A7"/>
    <w:rsid w:val="0001391B"/>
    <w:rsid w:val="00013A6B"/>
    <w:rsid w:val="00013CA8"/>
    <w:rsid w:val="00013D57"/>
    <w:rsid w:val="00013F3C"/>
    <w:rsid w:val="00014771"/>
    <w:rsid w:val="000147AE"/>
    <w:rsid w:val="000147E3"/>
    <w:rsid w:val="0001495B"/>
    <w:rsid w:val="00015060"/>
    <w:rsid w:val="00015091"/>
    <w:rsid w:val="000152D7"/>
    <w:rsid w:val="0001561E"/>
    <w:rsid w:val="000156CA"/>
    <w:rsid w:val="00015843"/>
    <w:rsid w:val="00015872"/>
    <w:rsid w:val="00015C0B"/>
    <w:rsid w:val="00015CA0"/>
    <w:rsid w:val="00015EB8"/>
    <w:rsid w:val="00016482"/>
    <w:rsid w:val="00016511"/>
    <w:rsid w:val="0001654F"/>
    <w:rsid w:val="00016666"/>
    <w:rsid w:val="00016BB1"/>
    <w:rsid w:val="00016DF5"/>
    <w:rsid w:val="00016DFA"/>
    <w:rsid w:val="00016E1E"/>
    <w:rsid w:val="00016E5A"/>
    <w:rsid w:val="00016F09"/>
    <w:rsid w:val="00016FA5"/>
    <w:rsid w:val="0001700C"/>
    <w:rsid w:val="00017106"/>
    <w:rsid w:val="0001711B"/>
    <w:rsid w:val="00017221"/>
    <w:rsid w:val="000173EF"/>
    <w:rsid w:val="000177E0"/>
    <w:rsid w:val="000179B3"/>
    <w:rsid w:val="00017ADC"/>
    <w:rsid w:val="00017B7E"/>
    <w:rsid w:val="00017CB3"/>
    <w:rsid w:val="00017D43"/>
    <w:rsid w:val="0002008E"/>
    <w:rsid w:val="000201A8"/>
    <w:rsid w:val="00020287"/>
    <w:rsid w:val="00020424"/>
    <w:rsid w:val="0002059E"/>
    <w:rsid w:val="000205EE"/>
    <w:rsid w:val="000206D2"/>
    <w:rsid w:val="0002078B"/>
    <w:rsid w:val="00020A5B"/>
    <w:rsid w:val="00020D5A"/>
    <w:rsid w:val="00020D71"/>
    <w:rsid w:val="0002123C"/>
    <w:rsid w:val="00021268"/>
    <w:rsid w:val="00021837"/>
    <w:rsid w:val="0002186F"/>
    <w:rsid w:val="00021A94"/>
    <w:rsid w:val="00021D60"/>
    <w:rsid w:val="000222ED"/>
    <w:rsid w:val="0002243C"/>
    <w:rsid w:val="00022452"/>
    <w:rsid w:val="00022555"/>
    <w:rsid w:val="000230C6"/>
    <w:rsid w:val="0002345A"/>
    <w:rsid w:val="0002355E"/>
    <w:rsid w:val="00023566"/>
    <w:rsid w:val="0002372B"/>
    <w:rsid w:val="00023A67"/>
    <w:rsid w:val="00023CD7"/>
    <w:rsid w:val="00023DDD"/>
    <w:rsid w:val="00023E47"/>
    <w:rsid w:val="00023EF7"/>
    <w:rsid w:val="00024231"/>
    <w:rsid w:val="000243F7"/>
    <w:rsid w:val="0002481E"/>
    <w:rsid w:val="000248B7"/>
    <w:rsid w:val="00024903"/>
    <w:rsid w:val="00024C50"/>
    <w:rsid w:val="00024D31"/>
    <w:rsid w:val="00025250"/>
    <w:rsid w:val="000254C1"/>
    <w:rsid w:val="00025605"/>
    <w:rsid w:val="000256C5"/>
    <w:rsid w:val="00025ABC"/>
    <w:rsid w:val="00025BB1"/>
    <w:rsid w:val="00025C19"/>
    <w:rsid w:val="000260DE"/>
    <w:rsid w:val="00026128"/>
    <w:rsid w:val="00026405"/>
    <w:rsid w:val="000264D0"/>
    <w:rsid w:val="00026588"/>
    <w:rsid w:val="00026850"/>
    <w:rsid w:val="00026A9F"/>
    <w:rsid w:val="00026AC3"/>
    <w:rsid w:val="00027193"/>
    <w:rsid w:val="0002721D"/>
    <w:rsid w:val="00027504"/>
    <w:rsid w:val="00027582"/>
    <w:rsid w:val="000275BB"/>
    <w:rsid w:val="000276C3"/>
    <w:rsid w:val="00027728"/>
    <w:rsid w:val="00027738"/>
    <w:rsid w:val="00027AB2"/>
    <w:rsid w:val="00027ABE"/>
    <w:rsid w:val="00027C47"/>
    <w:rsid w:val="00027DD7"/>
    <w:rsid w:val="00027E22"/>
    <w:rsid w:val="00027E86"/>
    <w:rsid w:val="00030124"/>
    <w:rsid w:val="00030168"/>
    <w:rsid w:val="000305DD"/>
    <w:rsid w:val="00030BFA"/>
    <w:rsid w:val="00030D43"/>
    <w:rsid w:val="00030E12"/>
    <w:rsid w:val="00031484"/>
    <w:rsid w:val="000314A4"/>
    <w:rsid w:val="00031598"/>
    <w:rsid w:val="000315F7"/>
    <w:rsid w:val="00031639"/>
    <w:rsid w:val="0003182B"/>
    <w:rsid w:val="0003189C"/>
    <w:rsid w:val="000318BD"/>
    <w:rsid w:val="00031918"/>
    <w:rsid w:val="00031B61"/>
    <w:rsid w:val="00031B8D"/>
    <w:rsid w:val="00031C32"/>
    <w:rsid w:val="00031EE2"/>
    <w:rsid w:val="0003235C"/>
    <w:rsid w:val="0003259B"/>
    <w:rsid w:val="00032976"/>
    <w:rsid w:val="00032A7A"/>
    <w:rsid w:val="00032B17"/>
    <w:rsid w:val="00032BC5"/>
    <w:rsid w:val="00032C62"/>
    <w:rsid w:val="00032CD1"/>
    <w:rsid w:val="00032F78"/>
    <w:rsid w:val="000330E2"/>
    <w:rsid w:val="000330F3"/>
    <w:rsid w:val="00033226"/>
    <w:rsid w:val="0003397C"/>
    <w:rsid w:val="00033A29"/>
    <w:rsid w:val="0003413A"/>
    <w:rsid w:val="000344E5"/>
    <w:rsid w:val="00034726"/>
    <w:rsid w:val="000348D8"/>
    <w:rsid w:val="00034C39"/>
    <w:rsid w:val="00034F7F"/>
    <w:rsid w:val="000351A4"/>
    <w:rsid w:val="000351E0"/>
    <w:rsid w:val="00035422"/>
    <w:rsid w:val="00035AD8"/>
    <w:rsid w:val="00035C84"/>
    <w:rsid w:val="00035EC4"/>
    <w:rsid w:val="00035EF7"/>
    <w:rsid w:val="00036169"/>
    <w:rsid w:val="000362FD"/>
    <w:rsid w:val="00036307"/>
    <w:rsid w:val="000364F9"/>
    <w:rsid w:val="00036691"/>
    <w:rsid w:val="0003686B"/>
    <w:rsid w:val="00036978"/>
    <w:rsid w:val="00036A11"/>
    <w:rsid w:val="00036AA5"/>
    <w:rsid w:val="00036CA4"/>
    <w:rsid w:val="00036CD4"/>
    <w:rsid w:val="00036CE2"/>
    <w:rsid w:val="00036D51"/>
    <w:rsid w:val="00036F37"/>
    <w:rsid w:val="000375A9"/>
    <w:rsid w:val="000375CE"/>
    <w:rsid w:val="0003775D"/>
    <w:rsid w:val="00037A2A"/>
    <w:rsid w:val="00037B96"/>
    <w:rsid w:val="00037DEC"/>
    <w:rsid w:val="00040165"/>
    <w:rsid w:val="00040195"/>
    <w:rsid w:val="000403D8"/>
    <w:rsid w:val="00040435"/>
    <w:rsid w:val="000405B6"/>
    <w:rsid w:val="00040AE2"/>
    <w:rsid w:val="00040EBD"/>
    <w:rsid w:val="000413DC"/>
    <w:rsid w:val="00041540"/>
    <w:rsid w:val="00041BEE"/>
    <w:rsid w:val="00041C93"/>
    <w:rsid w:val="00041E3D"/>
    <w:rsid w:val="00041F19"/>
    <w:rsid w:val="000421C7"/>
    <w:rsid w:val="000421CF"/>
    <w:rsid w:val="0004220E"/>
    <w:rsid w:val="0004232B"/>
    <w:rsid w:val="0004243F"/>
    <w:rsid w:val="00042578"/>
    <w:rsid w:val="00042880"/>
    <w:rsid w:val="00042915"/>
    <w:rsid w:val="00042C5A"/>
    <w:rsid w:val="000435CE"/>
    <w:rsid w:val="00043760"/>
    <w:rsid w:val="00043832"/>
    <w:rsid w:val="00043D66"/>
    <w:rsid w:val="00043E67"/>
    <w:rsid w:val="000441E5"/>
    <w:rsid w:val="00044247"/>
    <w:rsid w:val="0004426D"/>
    <w:rsid w:val="000442E7"/>
    <w:rsid w:val="000445E1"/>
    <w:rsid w:val="000446B5"/>
    <w:rsid w:val="00044830"/>
    <w:rsid w:val="00044BCC"/>
    <w:rsid w:val="000450DE"/>
    <w:rsid w:val="00045234"/>
    <w:rsid w:val="0004555B"/>
    <w:rsid w:val="000455ED"/>
    <w:rsid w:val="000456B6"/>
    <w:rsid w:val="00045C1F"/>
    <w:rsid w:val="00045CA9"/>
    <w:rsid w:val="00045E45"/>
    <w:rsid w:val="0004638A"/>
    <w:rsid w:val="00046494"/>
    <w:rsid w:val="000464D0"/>
    <w:rsid w:val="0004667C"/>
    <w:rsid w:val="000468FE"/>
    <w:rsid w:val="00046E50"/>
    <w:rsid w:val="00046ECF"/>
    <w:rsid w:val="00047131"/>
    <w:rsid w:val="00047459"/>
    <w:rsid w:val="000476F8"/>
    <w:rsid w:val="0004782A"/>
    <w:rsid w:val="00047AC0"/>
    <w:rsid w:val="00047C84"/>
    <w:rsid w:val="00047CE6"/>
    <w:rsid w:val="00047E69"/>
    <w:rsid w:val="000501AF"/>
    <w:rsid w:val="0005039E"/>
    <w:rsid w:val="000504E6"/>
    <w:rsid w:val="000505C6"/>
    <w:rsid w:val="00050611"/>
    <w:rsid w:val="000506A6"/>
    <w:rsid w:val="0005079E"/>
    <w:rsid w:val="00050E92"/>
    <w:rsid w:val="00050FE6"/>
    <w:rsid w:val="000514B7"/>
    <w:rsid w:val="000515E3"/>
    <w:rsid w:val="00051733"/>
    <w:rsid w:val="000519C5"/>
    <w:rsid w:val="00051E23"/>
    <w:rsid w:val="00051FA7"/>
    <w:rsid w:val="0005212E"/>
    <w:rsid w:val="000524D7"/>
    <w:rsid w:val="00052725"/>
    <w:rsid w:val="000527DF"/>
    <w:rsid w:val="000527E5"/>
    <w:rsid w:val="00052C74"/>
    <w:rsid w:val="00052D08"/>
    <w:rsid w:val="00052EE0"/>
    <w:rsid w:val="000532B9"/>
    <w:rsid w:val="0005374C"/>
    <w:rsid w:val="000539E0"/>
    <w:rsid w:val="000539FE"/>
    <w:rsid w:val="00053AFF"/>
    <w:rsid w:val="00053B2C"/>
    <w:rsid w:val="00053B9A"/>
    <w:rsid w:val="00053E99"/>
    <w:rsid w:val="00054070"/>
    <w:rsid w:val="000543AC"/>
    <w:rsid w:val="0005493A"/>
    <w:rsid w:val="0005494A"/>
    <w:rsid w:val="00054B8B"/>
    <w:rsid w:val="00054DD5"/>
    <w:rsid w:val="000556F9"/>
    <w:rsid w:val="000559C7"/>
    <w:rsid w:val="00055AB8"/>
    <w:rsid w:val="00055BBC"/>
    <w:rsid w:val="00055C72"/>
    <w:rsid w:val="00055D46"/>
    <w:rsid w:val="00055E8A"/>
    <w:rsid w:val="00055FD8"/>
    <w:rsid w:val="00056831"/>
    <w:rsid w:val="0005689B"/>
    <w:rsid w:val="0005695E"/>
    <w:rsid w:val="00056EBB"/>
    <w:rsid w:val="00057597"/>
    <w:rsid w:val="000575B2"/>
    <w:rsid w:val="000575C9"/>
    <w:rsid w:val="00057875"/>
    <w:rsid w:val="00057888"/>
    <w:rsid w:val="00057B50"/>
    <w:rsid w:val="00057F18"/>
    <w:rsid w:val="00060170"/>
    <w:rsid w:val="0006026B"/>
    <w:rsid w:val="000606D4"/>
    <w:rsid w:val="00060A20"/>
    <w:rsid w:val="00060C54"/>
    <w:rsid w:val="00060E4B"/>
    <w:rsid w:val="00060EEB"/>
    <w:rsid w:val="00060F27"/>
    <w:rsid w:val="0006102F"/>
    <w:rsid w:val="00061188"/>
    <w:rsid w:val="00061392"/>
    <w:rsid w:val="000613F6"/>
    <w:rsid w:val="000614F9"/>
    <w:rsid w:val="0006153C"/>
    <w:rsid w:val="0006179E"/>
    <w:rsid w:val="00061B0C"/>
    <w:rsid w:val="00061D96"/>
    <w:rsid w:val="00062143"/>
    <w:rsid w:val="000621FC"/>
    <w:rsid w:val="000626C4"/>
    <w:rsid w:val="0006317E"/>
    <w:rsid w:val="000631AC"/>
    <w:rsid w:val="0006355B"/>
    <w:rsid w:val="00063BB9"/>
    <w:rsid w:val="000643C0"/>
    <w:rsid w:val="000645B6"/>
    <w:rsid w:val="000648B4"/>
    <w:rsid w:val="00064A43"/>
    <w:rsid w:val="000650CD"/>
    <w:rsid w:val="00065302"/>
    <w:rsid w:val="0006531F"/>
    <w:rsid w:val="000653C1"/>
    <w:rsid w:val="00065766"/>
    <w:rsid w:val="000657D9"/>
    <w:rsid w:val="00065A4C"/>
    <w:rsid w:val="00065C2A"/>
    <w:rsid w:val="00065C67"/>
    <w:rsid w:val="00065CA4"/>
    <w:rsid w:val="00065CE7"/>
    <w:rsid w:val="00065DA6"/>
    <w:rsid w:val="00065EDF"/>
    <w:rsid w:val="000660A7"/>
    <w:rsid w:val="00066337"/>
    <w:rsid w:val="000664D6"/>
    <w:rsid w:val="00066563"/>
    <w:rsid w:val="000665EC"/>
    <w:rsid w:val="000666B5"/>
    <w:rsid w:val="0006672F"/>
    <w:rsid w:val="000667BD"/>
    <w:rsid w:val="0006690C"/>
    <w:rsid w:val="00066A5B"/>
    <w:rsid w:val="00066ADA"/>
    <w:rsid w:val="00066E8A"/>
    <w:rsid w:val="00067076"/>
    <w:rsid w:val="00067185"/>
    <w:rsid w:val="0006734C"/>
    <w:rsid w:val="0006737D"/>
    <w:rsid w:val="00067455"/>
    <w:rsid w:val="000675CC"/>
    <w:rsid w:val="00067BCA"/>
    <w:rsid w:val="00067C76"/>
    <w:rsid w:val="00067E8B"/>
    <w:rsid w:val="000701CD"/>
    <w:rsid w:val="000703AC"/>
    <w:rsid w:val="00070656"/>
    <w:rsid w:val="000707E9"/>
    <w:rsid w:val="000708CC"/>
    <w:rsid w:val="00070E59"/>
    <w:rsid w:val="00070EBC"/>
    <w:rsid w:val="000713CC"/>
    <w:rsid w:val="00071446"/>
    <w:rsid w:val="00071475"/>
    <w:rsid w:val="00071CFA"/>
    <w:rsid w:val="00072060"/>
    <w:rsid w:val="000725B5"/>
    <w:rsid w:val="0007279F"/>
    <w:rsid w:val="00072A97"/>
    <w:rsid w:val="00072B4B"/>
    <w:rsid w:val="00072EF6"/>
    <w:rsid w:val="000736FC"/>
    <w:rsid w:val="000737B8"/>
    <w:rsid w:val="00073A12"/>
    <w:rsid w:val="00073B99"/>
    <w:rsid w:val="00073D7E"/>
    <w:rsid w:val="00073EA2"/>
    <w:rsid w:val="00073EDC"/>
    <w:rsid w:val="00073F33"/>
    <w:rsid w:val="000744F6"/>
    <w:rsid w:val="00074503"/>
    <w:rsid w:val="00074AFF"/>
    <w:rsid w:val="00074CC6"/>
    <w:rsid w:val="00074CF2"/>
    <w:rsid w:val="00074DE5"/>
    <w:rsid w:val="00074EB3"/>
    <w:rsid w:val="0007571E"/>
    <w:rsid w:val="000758F8"/>
    <w:rsid w:val="0007594C"/>
    <w:rsid w:val="0007597E"/>
    <w:rsid w:val="00075A20"/>
    <w:rsid w:val="00075C7F"/>
    <w:rsid w:val="00075DB0"/>
    <w:rsid w:val="00075DF8"/>
    <w:rsid w:val="00075E76"/>
    <w:rsid w:val="00075E85"/>
    <w:rsid w:val="00075F4E"/>
    <w:rsid w:val="0007623F"/>
    <w:rsid w:val="0007645F"/>
    <w:rsid w:val="000765AB"/>
    <w:rsid w:val="000765C1"/>
    <w:rsid w:val="0007663B"/>
    <w:rsid w:val="0007676E"/>
    <w:rsid w:val="00076829"/>
    <w:rsid w:val="00076A22"/>
    <w:rsid w:val="00076B96"/>
    <w:rsid w:val="00076BEB"/>
    <w:rsid w:val="00076D5F"/>
    <w:rsid w:val="00076F53"/>
    <w:rsid w:val="0007700E"/>
    <w:rsid w:val="000770AC"/>
    <w:rsid w:val="000771ED"/>
    <w:rsid w:val="00077266"/>
    <w:rsid w:val="00077621"/>
    <w:rsid w:val="000776C5"/>
    <w:rsid w:val="0007776A"/>
    <w:rsid w:val="00077AE9"/>
    <w:rsid w:val="00077CA9"/>
    <w:rsid w:val="00080AFE"/>
    <w:rsid w:val="00080D31"/>
    <w:rsid w:val="000811E2"/>
    <w:rsid w:val="00081253"/>
    <w:rsid w:val="0008125E"/>
    <w:rsid w:val="0008198B"/>
    <w:rsid w:val="00081BA1"/>
    <w:rsid w:val="00081FC4"/>
    <w:rsid w:val="0008248D"/>
    <w:rsid w:val="000825B1"/>
    <w:rsid w:val="000826B1"/>
    <w:rsid w:val="000826D7"/>
    <w:rsid w:val="000829CD"/>
    <w:rsid w:val="00082B4D"/>
    <w:rsid w:val="00082B96"/>
    <w:rsid w:val="00082CD1"/>
    <w:rsid w:val="00082E1F"/>
    <w:rsid w:val="00083381"/>
    <w:rsid w:val="0008361C"/>
    <w:rsid w:val="00083866"/>
    <w:rsid w:val="000839EA"/>
    <w:rsid w:val="00083A26"/>
    <w:rsid w:val="00083AC8"/>
    <w:rsid w:val="00083AF1"/>
    <w:rsid w:val="00083D41"/>
    <w:rsid w:val="00083F1E"/>
    <w:rsid w:val="00083F8A"/>
    <w:rsid w:val="0008404D"/>
    <w:rsid w:val="00084179"/>
    <w:rsid w:val="000841FD"/>
    <w:rsid w:val="00084490"/>
    <w:rsid w:val="000844B2"/>
    <w:rsid w:val="0008454D"/>
    <w:rsid w:val="0008464B"/>
    <w:rsid w:val="0008464C"/>
    <w:rsid w:val="000846A2"/>
    <w:rsid w:val="00084738"/>
    <w:rsid w:val="00084866"/>
    <w:rsid w:val="00084BC4"/>
    <w:rsid w:val="00084DA9"/>
    <w:rsid w:val="00084DFE"/>
    <w:rsid w:val="0008511B"/>
    <w:rsid w:val="000856D4"/>
    <w:rsid w:val="0008575A"/>
    <w:rsid w:val="00085825"/>
    <w:rsid w:val="00085B3E"/>
    <w:rsid w:val="00085B45"/>
    <w:rsid w:val="00085C93"/>
    <w:rsid w:val="00085DFC"/>
    <w:rsid w:val="000861F6"/>
    <w:rsid w:val="00086307"/>
    <w:rsid w:val="000865D2"/>
    <w:rsid w:val="00086998"/>
    <w:rsid w:val="00086AE3"/>
    <w:rsid w:val="00086D9E"/>
    <w:rsid w:val="000877DD"/>
    <w:rsid w:val="00087DC8"/>
    <w:rsid w:val="00087EEA"/>
    <w:rsid w:val="00090FC6"/>
    <w:rsid w:val="000911C1"/>
    <w:rsid w:val="00091202"/>
    <w:rsid w:val="000912C7"/>
    <w:rsid w:val="00091640"/>
    <w:rsid w:val="0009174A"/>
    <w:rsid w:val="00091815"/>
    <w:rsid w:val="00091A13"/>
    <w:rsid w:val="00091A9F"/>
    <w:rsid w:val="00091D3B"/>
    <w:rsid w:val="00091FFF"/>
    <w:rsid w:val="0009206E"/>
    <w:rsid w:val="0009226D"/>
    <w:rsid w:val="000929C5"/>
    <w:rsid w:val="00092AEE"/>
    <w:rsid w:val="00092B1E"/>
    <w:rsid w:val="00092ED7"/>
    <w:rsid w:val="0009329E"/>
    <w:rsid w:val="000939FD"/>
    <w:rsid w:val="00093C36"/>
    <w:rsid w:val="00093D0F"/>
    <w:rsid w:val="0009447B"/>
    <w:rsid w:val="0009456D"/>
    <w:rsid w:val="0009467E"/>
    <w:rsid w:val="00094AB0"/>
    <w:rsid w:val="00094BC4"/>
    <w:rsid w:val="00094DCB"/>
    <w:rsid w:val="00094EA6"/>
    <w:rsid w:val="000952D0"/>
    <w:rsid w:val="0009530E"/>
    <w:rsid w:val="00095580"/>
    <w:rsid w:val="0009561B"/>
    <w:rsid w:val="00095813"/>
    <w:rsid w:val="00095920"/>
    <w:rsid w:val="00095E36"/>
    <w:rsid w:val="00095F97"/>
    <w:rsid w:val="00096148"/>
    <w:rsid w:val="000961ED"/>
    <w:rsid w:val="000962E4"/>
    <w:rsid w:val="00096382"/>
    <w:rsid w:val="000963F1"/>
    <w:rsid w:val="0009641F"/>
    <w:rsid w:val="00096716"/>
    <w:rsid w:val="00097344"/>
    <w:rsid w:val="00097480"/>
    <w:rsid w:val="000974AE"/>
    <w:rsid w:val="000976B9"/>
    <w:rsid w:val="00097793"/>
    <w:rsid w:val="0009781A"/>
    <w:rsid w:val="00097E54"/>
    <w:rsid w:val="000A01AE"/>
    <w:rsid w:val="000A0421"/>
    <w:rsid w:val="000A043B"/>
    <w:rsid w:val="000A066A"/>
    <w:rsid w:val="000A0883"/>
    <w:rsid w:val="000A0890"/>
    <w:rsid w:val="000A0E9B"/>
    <w:rsid w:val="000A1020"/>
    <w:rsid w:val="000A122F"/>
    <w:rsid w:val="000A1301"/>
    <w:rsid w:val="000A15F3"/>
    <w:rsid w:val="000A167B"/>
    <w:rsid w:val="000A173E"/>
    <w:rsid w:val="000A1774"/>
    <w:rsid w:val="000A17DC"/>
    <w:rsid w:val="000A1A04"/>
    <w:rsid w:val="000A1FF7"/>
    <w:rsid w:val="000A232A"/>
    <w:rsid w:val="000A243C"/>
    <w:rsid w:val="000A296F"/>
    <w:rsid w:val="000A3176"/>
    <w:rsid w:val="000A32E7"/>
    <w:rsid w:val="000A3464"/>
    <w:rsid w:val="000A35B5"/>
    <w:rsid w:val="000A3611"/>
    <w:rsid w:val="000A39C4"/>
    <w:rsid w:val="000A3A6D"/>
    <w:rsid w:val="000A3DAC"/>
    <w:rsid w:val="000A4572"/>
    <w:rsid w:val="000A4796"/>
    <w:rsid w:val="000A4C50"/>
    <w:rsid w:val="000A4C59"/>
    <w:rsid w:val="000A4F95"/>
    <w:rsid w:val="000A5068"/>
    <w:rsid w:val="000A5134"/>
    <w:rsid w:val="000A5BD9"/>
    <w:rsid w:val="000A5D4F"/>
    <w:rsid w:val="000A5DE4"/>
    <w:rsid w:val="000A61B1"/>
    <w:rsid w:val="000A6384"/>
    <w:rsid w:val="000A63AA"/>
    <w:rsid w:val="000A63BA"/>
    <w:rsid w:val="000A6453"/>
    <w:rsid w:val="000A64AC"/>
    <w:rsid w:val="000A68FB"/>
    <w:rsid w:val="000A6B41"/>
    <w:rsid w:val="000A6C66"/>
    <w:rsid w:val="000A6F57"/>
    <w:rsid w:val="000A78AF"/>
    <w:rsid w:val="000A7B45"/>
    <w:rsid w:val="000A7CD4"/>
    <w:rsid w:val="000A7F73"/>
    <w:rsid w:val="000A7FFE"/>
    <w:rsid w:val="000B0455"/>
    <w:rsid w:val="000B0DEB"/>
    <w:rsid w:val="000B1083"/>
    <w:rsid w:val="000B1450"/>
    <w:rsid w:val="000B1675"/>
    <w:rsid w:val="000B1692"/>
    <w:rsid w:val="000B17E2"/>
    <w:rsid w:val="000B18E1"/>
    <w:rsid w:val="000B1A2F"/>
    <w:rsid w:val="000B1A32"/>
    <w:rsid w:val="000B1F12"/>
    <w:rsid w:val="000B2193"/>
    <w:rsid w:val="000B21D2"/>
    <w:rsid w:val="000B2747"/>
    <w:rsid w:val="000B2B96"/>
    <w:rsid w:val="000B2BF5"/>
    <w:rsid w:val="000B2D83"/>
    <w:rsid w:val="000B2F9A"/>
    <w:rsid w:val="000B3013"/>
    <w:rsid w:val="000B33EA"/>
    <w:rsid w:val="000B3450"/>
    <w:rsid w:val="000B365B"/>
    <w:rsid w:val="000B37E5"/>
    <w:rsid w:val="000B3A32"/>
    <w:rsid w:val="000B3C15"/>
    <w:rsid w:val="000B3CDA"/>
    <w:rsid w:val="000B3FDB"/>
    <w:rsid w:val="000B3FF9"/>
    <w:rsid w:val="000B404E"/>
    <w:rsid w:val="000B430D"/>
    <w:rsid w:val="000B4566"/>
    <w:rsid w:val="000B49DF"/>
    <w:rsid w:val="000B5488"/>
    <w:rsid w:val="000B558F"/>
    <w:rsid w:val="000B5AD0"/>
    <w:rsid w:val="000B5B26"/>
    <w:rsid w:val="000B5D04"/>
    <w:rsid w:val="000B65F3"/>
    <w:rsid w:val="000B670D"/>
    <w:rsid w:val="000B67A4"/>
    <w:rsid w:val="000B67D9"/>
    <w:rsid w:val="000B6A38"/>
    <w:rsid w:val="000B73B8"/>
    <w:rsid w:val="000B73F7"/>
    <w:rsid w:val="000B750E"/>
    <w:rsid w:val="000B799A"/>
    <w:rsid w:val="000B7A93"/>
    <w:rsid w:val="000C0143"/>
    <w:rsid w:val="000C0196"/>
    <w:rsid w:val="000C01B6"/>
    <w:rsid w:val="000C047B"/>
    <w:rsid w:val="000C04D7"/>
    <w:rsid w:val="000C05F1"/>
    <w:rsid w:val="000C0615"/>
    <w:rsid w:val="000C061D"/>
    <w:rsid w:val="000C0A8C"/>
    <w:rsid w:val="000C0D22"/>
    <w:rsid w:val="000C0EC3"/>
    <w:rsid w:val="000C0F4E"/>
    <w:rsid w:val="000C0F56"/>
    <w:rsid w:val="000C117D"/>
    <w:rsid w:val="000C129E"/>
    <w:rsid w:val="000C156E"/>
    <w:rsid w:val="000C1663"/>
    <w:rsid w:val="000C1716"/>
    <w:rsid w:val="000C192C"/>
    <w:rsid w:val="000C1AD2"/>
    <w:rsid w:val="000C1C8E"/>
    <w:rsid w:val="000C1CD4"/>
    <w:rsid w:val="000C1EB8"/>
    <w:rsid w:val="000C1ED8"/>
    <w:rsid w:val="000C25DE"/>
    <w:rsid w:val="000C29D1"/>
    <w:rsid w:val="000C29E5"/>
    <w:rsid w:val="000C2BC4"/>
    <w:rsid w:val="000C2DA9"/>
    <w:rsid w:val="000C2ED1"/>
    <w:rsid w:val="000C39FC"/>
    <w:rsid w:val="000C3CC5"/>
    <w:rsid w:val="000C3F13"/>
    <w:rsid w:val="000C42B6"/>
    <w:rsid w:val="000C4332"/>
    <w:rsid w:val="000C4476"/>
    <w:rsid w:val="000C456A"/>
    <w:rsid w:val="000C4849"/>
    <w:rsid w:val="000C4A65"/>
    <w:rsid w:val="000C4C67"/>
    <w:rsid w:val="000C4F8C"/>
    <w:rsid w:val="000C4F8F"/>
    <w:rsid w:val="000C50AE"/>
    <w:rsid w:val="000C52C3"/>
    <w:rsid w:val="000C5324"/>
    <w:rsid w:val="000C53D5"/>
    <w:rsid w:val="000C5405"/>
    <w:rsid w:val="000C542E"/>
    <w:rsid w:val="000C547E"/>
    <w:rsid w:val="000C54FC"/>
    <w:rsid w:val="000C564B"/>
    <w:rsid w:val="000C5819"/>
    <w:rsid w:val="000C5910"/>
    <w:rsid w:val="000C5A8E"/>
    <w:rsid w:val="000C5AB2"/>
    <w:rsid w:val="000C5B21"/>
    <w:rsid w:val="000C5B6A"/>
    <w:rsid w:val="000C5BF9"/>
    <w:rsid w:val="000C5CC7"/>
    <w:rsid w:val="000C5F08"/>
    <w:rsid w:val="000C625F"/>
    <w:rsid w:val="000C6322"/>
    <w:rsid w:val="000C646C"/>
    <w:rsid w:val="000C6F13"/>
    <w:rsid w:val="000C7088"/>
    <w:rsid w:val="000C7238"/>
    <w:rsid w:val="000C748B"/>
    <w:rsid w:val="000C7783"/>
    <w:rsid w:val="000C791F"/>
    <w:rsid w:val="000C79C5"/>
    <w:rsid w:val="000C7C12"/>
    <w:rsid w:val="000C7C97"/>
    <w:rsid w:val="000C7D3F"/>
    <w:rsid w:val="000D018B"/>
    <w:rsid w:val="000D03B5"/>
    <w:rsid w:val="000D0714"/>
    <w:rsid w:val="000D0AC8"/>
    <w:rsid w:val="000D0BEC"/>
    <w:rsid w:val="000D130B"/>
    <w:rsid w:val="000D1776"/>
    <w:rsid w:val="000D1AEA"/>
    <w:rsid w:val="000D1C0E"/>
    <w:rsid w:val="000D1D34"/>
    <w:rsid w:val="000D2019"/>
    <w:rsid w:val="000D20CB"/>
    <w:rsid w:val="000D2165"/>
    <w:rsid w:val="000D29AC"/>
    <w:rsid w:val="000D2AF2"/>
    <w:rsid w:val="000D2AF7"/>
    <w:rsid w:val="000D2DB2"/>
    <w:rsid w:val="000D316D"/>
    <w:rsid w:val="000D340E"/>
    <w:rsid w:val="000D36A9"/>
    <w:rsid w:val="000D3891"/>
    <w:rsid w:val="000D3AF7"/>
    <w:rsid w:val="000D3B78"/>
    <w:rsid w:val="000D3CC0"/>
    <w:rsid w:val="000D3D04"/>
    <w:rsid w:val="000D3FAD"/>
    <w:rsid w:val="000D405F"/>
    <w:rsid w:val="000D433E"/>
    <w:rsid w:val="000D4E92"/>
    <w:rsid w:val="000D53B3"/>
    <w:rsid w:val="000D5BB9"/>
    <w:rsid w:val="000D5F21"/>
    <w:rsid w:val="000D5F6E"/>
    <w:rsid w:val="000D6156"/>
    <w:rsid w:val="000D639B"/>
    <w:rsid w:val="000D6427"/>
    <w:rsid w:val="000D6A95"/>
    <w:rsid w:val="000D6AB4"/>
    <w:rsid w:val="000D7036"/>
    <w:rsid w:val="000D7181"/>
    <w:rsid w:val="000D7214"/>
    <w:rsid w:val="000D727A"/>
    <w:rsid w:val="000D7F04"/>
    <w:rsid w:val="000E0257"/>
    <w:rsid w:val="000E05B0"/>
    <w:rsid w:val="000E0736"/>
    <w:rsid w:val="000E10E4"/>
    <w:rsid w:val="000E1701"/>
    <w:rsid w:val="000E19F1"/>
    <w:rsid w:val="000E1F38"/>
    <w:rsid w:val="000E233D"/>
    <w:rsid w:val="000E24BA"/>
    <w:rsid w:val="000E251D"/>
    <w:rsid w:val="000E26B2"/>
    <w:rsid w:val="000E2B47"/>
    <w:rsid w:val="000E2B60"/>
    <w:rsid w:val="000E2DA4"/>
    <w:rsid w:val="000E3458"/>
    <w:rsid w:val="000E357A"/>
    <w:rsid w:val="000E35FC"/>
    <w:rsid w:val="000E360A"/>
    <w:rsid w:val="000E3BDD"/>
    <w:rsid w:val="000E3F5F"/>
    <w:rsid w:val="000E3F79"/>
    <w:rsid w:val="000E41B6"/>
    <w:rsid w:val="000E4213"/>
    <w:rsid w:val="000E4B68"/>
    <w:rsid w:val="000E4FFE"/>
    <w:rsid w:val="000E5040"/>
    <w:rsid w:val="000E5221"/>
    <w:rsid w:val="000E52E8"/>
    <w:rsid w:val="000E564B"/>
    <w:rsid w:val="000E5E65"/>
    <w:rsid w:val="000E5FCC"/>
    <w:rsid w:val="000E60D6"/>
    <w:rsid w:val="000E677F"/>
    <w:rsid w:val="000E69C0"/>
    <w:rsid w:val="000E69D6"/>
    <w:rsid w:val="000E6BDB"/>
    <w:rsid w:val="000E6CEB"/>
    <w:rsid w:val="000E6D41"/>
    <w:rsid w:val="000E6FF6"/>
    <w:rsid w:val="000E74C5"/>
    <w:rsid w:val="000E789A"/>
    <w:rsid w:val="000E79FD"/>
    <w:rsid w:val="000E7C0D"/>
    <w:rsid w:val="000F023F"/>
    <w:rsid w:val="000F03BD"/>
    <w:rsid w:val="000F0684"/>
    <w:rsid w:val="000F0AC2"/>
    <w:rsid w:val="000F0C46"/>
    <w:rsid w:val="000F0F5B"/>
    <w:rsid w:val="000F0F9A"/>
    <w:rsid w:val="000F11A4"/>
    <w:rsid w:val="000F14A9"/>
    <w:rsid w:val="000F15F5"/>
    <w:rsid w:val="000F16FC"/>
    <w:rsid w:val="000F18A2"/>
    <w:rsid w:val="000F1979"/>
    <w:rsid w:val="000F1A3C"/>
    <w:rsid w:val="000F1E46"/>
    <w:rsid w:val="000F1F0F"/>
    <w:rsid w:val="000F1F69"/>
    <w:rsid w:val="000F1FE3"/>
    <w:rsid w:val="000F20E5"/>
    <w:rsid w:val="000F24B2"/>
    <w:rsid w:val="000F2626"/>
    <w:rsid w:val="000F2A0A"/>
    <w:rsid w:val="000F2BBA"/>
    <w:rsid w:val="000F2CC6"/>
    <w:rsid w:val="000F3036"/>
    <w:rsid w:val="000F30B0"/>
    <w:rsid w:val="000F32F8"/>
    <w:rsid w:val="000F331B"/>
    <w:rsid w:val="000F3344"/>
    <w:rsid w:val="000F36E3"/>
    <w:rsid w:val="000F374B"/>
    <w:rsid w:val="000F387D"/>
    <w:rsid w:val="000F3906"/>
    <w:rsid w:val="000F39A6"/>
    <w:rsid w:val="000F3ACD"/>
    <w:rsid w:val="000F3B90"/>
    <w:rsid w:val="000F3BAB"/>
    <w:rsid w:val="000F3D93"/>
    <w:rsid w:val="000F3F4E"/>
    <w:rsid w:val="000F427B"/>
    <w:rsid w:val="000F443B"/>
    <w:rsid w:val="000F4705"/>
    <w:rsid w:val="000F494E"/>
    <w:rsid w:val="000F4F5F"/>
    <w:rsid w:val="000F508A"/>
    <w:rsid w:val="000F5971"/>
    <w:rsid w:val="000F5B81"/>
    <w:rsid w:val="000F5DC5"/>
    <w:rsid w:val="000F5E75"/>
    <w:rsid w:val="000F5E8B"/>
    <w:rsid w:val="000F677F"/>
    <w:rsid w:val="000F6B2E"/>
    <w:rsid w:val="000F6E2E"/>
    <w:rsid w:val="000F74CF"/>
    <w:rsid w:val="000F75BF"/>
    <w:rsid w:val="000F75C5"/>
    <w:rsid w:val="000F786F"/>
    <w:rsid w:val="000F7C56"/>
    <w:rsid w:val="000F7F38"/>
    <w:rsid w:val="001000C3"/>
    <w:rsid w:val="00100133"/>
    <w:rsid w:val="001001E9"/>
    <w:rsid w:val="001006CF"/>
    <w:rsid w:val="0010072B"/>
    <w:rsid w:val="00100EEF"/>
    <w:rsid w:val="00100F13"/>
    <w:rsid w:val="0010102D"/>
    <w:rsid w:val="001014A8"/>
    <w:rsid w:val="001018CD"/>
    <w:rsid w:val="00101997"/>
    <w:rsid w:val="00101A14"/>
    <w:rsid w:val="00101BEE"/>
    <w:rsid w:val="00101DFA"/>
    <w:rsid w:val="00101E39"/>
    <w:rsid w:val="001020E0"/>
    <w:rsid w:val="001023EF"/>
    <w:rsid w:val="00102700"/>
    <w:rsid w:val="0010276D"/>
    <w:rsid w:val="0010282D"/>
    <w:rsid w:val="00102A2E"/>
    <w:rsid w:val="00102C6D"/>
    <w:rsid w:val="00102C81"/>
    <w:rsid w:val="00103395"/>
    <w:rsid w:val="00103889"/>
    <w:rsid w:val="00103A0B"/>
    <w:rsid w:val="00103D69"/>
    <w:rsid w:val="00103F3E"/>
    <w:rsid w:val="00103F88"/>
    <w:rsid w:val="00104037"/>
    <w:rsid w:val="0010414D"/>
    <w:rsid w:val="001041AC"/>
    <w:rsid w:val="001046FA"/>
    <w:rsid w:val="00104783"/>
    <w:rsid w:val="0010495B"/>
    <w:rsid w:val="001049A3"/>
    <w:rsid w:val="0010525F"/>
    <w:rsid w:val="001054B6"/>
    <w:rsid w:val="001055A3"/>
    <w:rsid w:val="0010580E"/>
    <w:rsid w:val="001059EB"/>
    <w:rsid w:val="00105EAB"/>
    <w:rsid w:val="00105EF4"/>
    <w:rsid w:val="001061C3"/>
    <w:rsid w:val="0010622E"/>
    <w:rsid w:val="0010625C"/>
    <w:rsid w:val="00106591"/>
    <w:rsid w:val="00106A85"/>
    <w:rsid w:val="00106AB9"/>
    <w:rsid w:val="00106E27"/>
    <w:rsid w:val="00107059"/>
    <w:rsid w:val="001070D8"/>
    <w:rsid w:val="00107164"/>
    <w:rsid w:val="0010728B"/>
    <w:rsid w:val="001075D7"/>
    <w:rsid w:val="001077CD"/>
    <w:rsid w:val="001079C4"/>
    <w:rsid w:val="00107A3C"/>
    <w:rsid w:val="00107E61"/>
    <w:rsid w:val="00107E80"/>
    <w:rsid w:val="001100F2"/>
    <w:rsid w:val="00110277"/>
    <w:rsid w:val="00110839"/>
    <w:rsid w:val="00110BC4"/>
    <w:rsid w:val="00110C9A"/>
    <w:rsid w:val="001111E2"/>
    <w:rsid w:val="001115C9"/>
    <w:rsid w:val="00111B29"/>
    <w:rsid w:val="00111BF1"/>
    <w:rsid w:val="00111E85"/>
    <w:rsid w:val="0011209D"/>
    <w:rsid w:val="001121BA"/>
    <w:rsid w:val="00112454"/>
    <w:rsid w:val="0011278E"/>
    <w:rsid w:val="00112A89"/>
    <w:rsid w:val="00112AD5"/>
    <w:rsid w:val="00112C44"/>
    <w:rsid w:val="00112CB8"/>
    <w:rsid w:val="00112DE5"/>
    <w:rsid w:val="00112E98"/>
    <w:rsid w:val="00113435"/>
    <w:rsid w:val="00113F4D"/>
    <w:rsid w:val="001143D0"/>
    <w:rsid w:val="00114790"/>
    <w:rsid w:val="0011482F"/>
    <w:rsid w:val="00114A0C"/>
    <w:rsid w:val="00114B6F"/>
    <w:rsid w:val="00114C0F"/>
    <w:rsid w:val="00114D38"/>
    <w:rsid w:val="00114F4D"/>
    <w:rsid w:val="0011527E"/>
    <w:rsid w:val="00115C79"/>
    <w:rsid w:val="001164DF"/>
    <w:rsid w:val="00116517"/>
    <w:rsid w:val="001166BE"/>
    <w:rsid w:val="0011695B"/>
    <w:rsid w:val="00116C2E"/>
    <w:rsid w:val="00116E92"/>
    <w:rsid w:val="00116EDA"/>
    <w:rsid w:val="00116F71"/>
    <w:rsid w:val="0011706B"/>
    <w:rsid w:val="00117397"/>
    <w:rsid w:val="0011771B"/>
    <w:rsid w:val="0011781F"/>
    <w:rsid w:val="00117B72"/>
    <w:rsid w:val="001203F8"/>
    <w:rsid w:val="00120848"/>
    <w:rsid w:val="00120956"/>
    <w:rsid w:val="00120A5D"/>
    <w:rsid w:val="00120BC8"/>
    <w:rsid w:val="00121354"/>
    <w:rsid w:val="0012159D"/>
    <w:rsid w:val="00121606"/>
    <w:rsid w:val="001218D1"/>
    <w:rsid w:val="00121E0D"/>
    <w:rsid w:val="001221AA"/>
    <w:rsid w:val="001222A4"/>
    <w:rsid w:val="00122428"/>
    <w:rsid w:val="00122448"/>
    <w:rsid w:val="00122530"/>
    <w:rsid w:val="001228F9"/>
    <w:rsid w:val="00122A5E"/>
    <w:rsid w:val="00122E5C"/>
    <w:rsid w:val="00122F58"/>
    <w:rsid w:val="0012311D"/>
    <w:rsid w:val="0012319D"/>
    <w:rsid w:val="001233C1"/>
    <w:rsid w:val="00123521"/>
    <w:rsid w:val="001235DE"/>
    <w:rsid w:val="001236B9"/>
    <w:rsid w:val="00123713"/>
    <w:rsid w:val="00123811"/>
    <w:rsid w:val="00123981"/>
    <w:rsid w:val="00123C94"/>
    <w:rsid w:val="00123F1E"/>
    <w:rsid w:val="00123FDA"/>
    <w:rsid w:val="00124422"/>
    <w:rsid w:val="001248FB"/>
    <w:rsid w:val="00124A1D"/>
    <w:rsid w:val="00124AFE"/>
    <w:rsid w:val="00124BF5"/>
    <w:rsid w:val="00124C63"/>
    <w:rsid w:val="00124CDD"/>
    <w:rsid w:val="001253E0"/>
    <w:rsid w:val="00125559"/>
    <w:rsid w:val="00125639"/>
    <w:rsid w:val="0012572B"/>
    <w:rsid w:val="00125822"/>
    <w:rsid w:val="001258F7"/>
    <w:rsid w:val="001259DE"/>
    <w:rsid w:val="0012602F"/>
    <w:rsid w:val="0012618F"/>
    <w:rsid w:val="001263B2"/>
    <w:rsid w:val="001265D9"/>
    <w:rsid w:val="0012673A"/>
    <w:rsid w:val="0012680A"/>
    <w:rsid w:val="00126C4A"/>
    <w:rsid w:val="00127016"/>
    <w:rsid w:val="00127075"/>
    <w:rsid w:val="0012738B"/>
    <w:rsid w:val="0012775C"/>
    <w:rsid w:val="0012788B"/>
    <w:rsid w:val="00127970"/>
    <w:rsid w:val="00127C57"/>
    <w:rsid w:val="00127FC9"/>
    <w:rsid w:val="0013014E"/>
    <w:rsid w:val="0013036A"/>
    <w:rsid w:val="00130480"/>
    <w:rsid w:val="001305BF"/>
    <w:rsid w:val="0013060B"/>
    <w:rsid w:val="0013071D"/>
    <w:rsid w:val="0013076B"/>
    <w:rsid w:val="001307B8"/>
    <w:rsid w:val="00130DCA"/>
    <w:rsid w:val="00130E2C"/>
    <w:rsid w:val="00131325"/>
    <w:rsid w:val="0013136C"/>
    <w:rsid w:val="0013137B"/>
    <w:rsid w:val="00131380"/>
    <w:rsid w:val="00131575"/>
    <w:rsid w:val="001315C6"/>
    <w:rsid w:val="00131C45"/>
    <w:rsid w:val="00132325"/>
    <w:rsid w:val="00132336"/>
    <w:rsid w:val="00132379"/>
    <w:rsid w:val="0013246E"/>
    <w:rsid w:val="001326C3"/>
    <w:rsid w:val="001329A2"/>
    <w:rsid w:val="00132BAB"/>
    <w:rsid w:val="00132F3A"/>
    <w:rsid w:val="0013307E"/>
    <w:rsid w:val="00133111"/>
    <w:rsid w:val="001331BE"/>
    <w:rsid w:val="00133280"/>
    <w:rsid w:val="00133475"/>
    <w:rsid w:val="00133F0A"/>
    <w:rsid w:val="00134076"/>
    <w:rsid w:val="00134174"/>
    <w:rsid w:val="00134186"/>
    <w:rsid w:val="00134474"/>
    <w:rsid w:val="00134666"/>
    <w:rsid w:val="0013473B"/>
    <w:rsid w:val="00134E5A"/>
    <w:rsid w:val="0013539A"/>
    <w:rsid w:val="00135489"/>
    <w:rsid w:val="001355B0"/>
    <w:rsid w:val="001356BA"/>
    <w:rsid w:val="001359FA"/>
    <w:rsid w:val="00135B1C"/>
    <w:rsid w:val="00135BC1"/>
    <w:rsid w:val="00135BC4"/>
    <w:rsid w:val="00135C21"/>
    <w:rsid w:val="00135C49"/>
    <w:rsid w:val="001361ED"/>
    <w:rsid w:val="00136348"/>
    <w:rsid w:val="00136386"/>
    <w:rsid w:val="001363E1"/>
    <w:rsid w:val="001364D8"/>
    <w:rsid w:val="001364EB"/>
    <w:rsid w:val="001367B4"/>
    <w:rsid w:val="001369C5"/>
    <w:rsid w:val="00136AD7"/>
    <w:rsid w:val="00136D44"/>
    <w:rsid w:val="00136E00"/>
    <w:rsid w:val="00136F82"/>
    <w:rsid w:val="00137058"/>
    <w:rsid w:val="001371B5"/>
    <w:rsid w:val="00137327"/>
    <w:rsid w:val="00137474"/>
    <w:rsid w:val="0013750B"/>
    <w:rsid w:val="0013754B"/>
    <w:rsid w:val="00137828"/>
    <w:rsid w:val="00137909"/>
    <w:rsid w:val="0013791B"/>
    <w:rsid w:val="00137962"/>
    <w:rsid w:val="001379B8"/>
    <w:rsid w:val="00137B88"/>
    <w:rsid w:val="00137BBA"/>
    <w:rsid w:val="00137F2F"/>
    <w:rsid w:val="001400AB"/>
    <w:rsid w:val="001402E0"/>
    <w:rsid w:val="001403D5"/>
    <w:rsid w:val="00140414"/>
    <w:rsid w:val="00140916"/>
    <w:rsid w:val="00140BB9"/>
    <w:rsid w:val="00140F45"/>
    <w:rsid w:val="00140F6C"/>
    <w:rsid w:val="001415C9"/>
    <w:rsid w:val="001416C2"/>
    <w:rsid w:val="001419F5"/>
    <w:rsid w:val="00141A0D"/>
    <w:rsid w:val="00142033"/>
    <w:rsid w:val="001420C4"/>
    <w:rsid w:val="001421D9"/>
    <w:rsid w:val="001423DE"/>
    <w:rsid w:val="001425B0"/>
    <w:rsid w:val="0014284F"/>
    <w:rsid w:val="00142942"/>
    <w:rsid w:val="0014298A"/>
    <w:rsid w:val="00142EAD"/>
    <w:rsid w:val="00143328"/>
    <w:rsid w:val="001434A7"/>
    <w:rsid w:val="00143525"/>
    <w:rsid w:val="0014353A"/>
    <w:rsid w:val="0014373E"/>
    <w:rsid w:val="00143A7A"/>
    <w:rsid w:val="00143C48"/>
    <w:rsid w:val="00143E56"/>
    <w:rsid w:val="00143F8F"/>
    <w:rsid w:val="00144115"/>
    <w:rsid w:val="001442AE"/>
    <w:rsid w:val="001445FB"/>
    <w:rsid w:val="001448E1"/>
    <w:rsid w:val="00144B8E"/>
    <w:rsid w:val="001455C4"/>
    <w:rsid w:val="0014562A"/>
    <w:rsid w:val="00145977"/>
    <w:rsid w:val="00145ABE"/>
    <w:rsid w:val="00145C73"/>
    <w:rsid w:val="00145CD0"/>
    <w:rsid w:val="00145F8A"/>
    <w:rsid w:val="00145FFD"/>
    <w:rsid w:val="001462AA"/>
    <w:rsid w:val="0014652F"/>
    <w:rsid w:val="00146549"/>
    <w:rsid w:val="00146594"/>
    <w:rsid w:val="001466E6"/>
    <w:rsid w:val="001467AD"/>
    <w:rsid w:val="00146870"/>
    <w:rsid w:val="001469EA"/>
    <w:rsid w:val="00146B05"/>
    <w:rsid w:val="00146F87"/>
    <w:rsid w:val="001473C0"/>
    <w:rsid w:val="0014744A"/>
    <w:rsid w:val="00147AA2"/>
    <w:rsid w:val="00147EAB"/>
    <w:rsid w:val="0015046D"/>
    <w:rsid w:val="0015058C"/>
    <w:rsid w:val="001506B8"/>
    <w:rsid w:val="00150810"/>
    <w:rsid w:val="00150DEF"/>
    <w:rsid w:val="00150E2E"/>
    <w:rsid w:val="00150EF1"/>
    <w:rsid w:val="00151176"/>
    <w:rsid w:val="00151CC7"/>
    <w:rsid w:val="00152092"/>
    <w:rsid w:val="0015266C"/>
    <w:rsid w:val="00152BD5"/>
    <w:rsid w:val="00152C40"/>
    <w:rsid w:val="00152D3C"/>
    <w:rsid w:val="00152E64"/>
    <w:rsid w:val="00153448"/>
    <w:rsid w:val="0015345E"/>
    <w:rsid w:val="00153627"/>
    <w:rsid w:val="001539AC"/>
    <w:rsid w:val="00153A93"/>
    <w:rsid w:val="00153C85"/>
    <w:rsid w:val="00153D83"/>
    <w:rsid w:val="00153D8D"/>
    <w:rsid w:val="00153ED0"/>
    <w:rsid w:val="0015417A"/>
    <w:rsid w:val="001541BB"/>
    <w:rsid w:val="001542E0"/>
    <w:rsid w:val="001544A2"/>
    <w:rsid w:val="001544A5"/>
    <w:rsid w:val="001546E1"/>
    <w:rsid w:val="00154717"/>
    <w:rsid w:val="00155060"/>
    <w:rsid w:val="0015543F"/>
    <w:rsid w:val="00155AB5"/>
    <w:rsid w:val="00155D04"/>
    <w:rsid w:val="00155D2D"/>
    <w:rsid w:val="00155FD1"/>
    <w:rsid w:val="00156012"/>
    <w:rsid w:val="00156469"/>
    <w:rsid w:val="001566FA"/>
    <w:rsid w:val="00156743"/>
    <w:rsid w:val="00156756"/>
    <w:rsid w:val="00156A2F"/>
    <w:rsid w:val="00156ABD"/>
    <w:rsid w:val="00156D8E"/>
    <w:rsid w:val="00156EC9"/>
    <w:rsid w:val="001571D2"/>
    <w:rsid w:val="00157242"/>
    <w:rsid w:val="00157890"/>
    <w:rsid w:val="00157D1D"/>
    <w:rsid w:val="00157F16"/>
    <w:rsid w:val="00157F2B"/>
    <w:rsid w:val="001601A9"/>
    <w:rsid w:val="0016036F"/>
    <w:rsid w:val="001604DC"/>
    <w:rsid w:val="0016067D"/>
    <w:rsid w:val="0016069E"/>
    <w:rsid w:val="001611EE"/>
    <w:rsid w:val="001613A3"/>
    <w:rsid w:val="00161B00"/>
    <w:rsid w:val="00161E03"/>
    <w:rsid w:val="001622C1"/>
    <w:rsid w:val="00162392"/>
    <w:rsid w:val="0016275E"/>
    <w:rsid w:val="00162767"/>
    <w:rsid w:val="00162963"/>
    <w:rsid w:val="00162B78"/>
    <w:rsid w:val="00162C22"/>
    <w:rsid w:val="00162CF6"/>
    <w:rsid w:val="00162F7F"/>
    <w:rsid w:val="001632C4"/>
    <w:rsid w:val="00163314"/>
    <w:rsid w:val="00163577"/>
    <w:rsid w:val="00163792"/>
    <w:rsid w:val="00163B84"/>
    <w:rsid w:val="00163BA1"/>
    <w:rsid w:val="00163D98"/>
    <w:rsid w:val="00164352"/>
    <w:rsid w:val="0016461D"/>
    <w:rsid w:val="001648E9"/>
    <w:rsid w:val="00164A4F"/>
    <w:rsid w:val="00164C73"/>
    <w:rsid w:val="00164D1F"/>
    <w:rsid w:val="00164E5E"/>
    <w:rsid w:val="00164E9F"/>
    <w:rsid w:val="00164F3C"/>
    <w:rsid w:val="00165987"/>
    <w:rsid w:val="00165C84"/>
    <w:rsid w:val="00165E8E"/>
    <w:rsid w:val="00165F89"/>
    <w:rsid w:val="00166002"/>
    <w:rsid w:val="00166258"/>
    <w:rsid w:val="00166401"/>
    <w:rsid w:val="0016670F"/>
    <w:rsid w:val="00166871"/>
    <w:rsid w:val="00166959"/>
    <w:rsid w:val="001670D2"/>
    <w:rsid w:val="001673D9"/>
    <w:rsid w:val="00167ACC"/>
    <w:rsid w:val="00167B1D"/>
    <w:rsid w:val="00167BAB"/>
    <w:rsid w:val="00167FBB"/>
    <w:rsid w:val="0017046A"/>
    <w:rsid w:val="00170964"/>
    <w:rsid w:val="00170D0D"/>
    <w:rsid w:val="00170D48"/>
    <w:rsid w:val="00170E54"/>
    <w:rsid w:val="00170E82"/>
    <w:rsid w:val="001712B1"/>
    <w:rsid w:val="0017130B"/>
    <w:rsid w:val="0017139A"/>
    <w:rsid w:val="001713D6"/>
    <w:rsid w:val="00171542"/>
    <w:rsid w:val="00171564"/>
    <w:rsid w:val="00171739"/>
    <w:rsid w:val="0017190F"/>
    <w:rsid w:val="00171A49"/>
    <w:rsid w:val="00171BF7"/>
    <w:rsid w:val="00171E2D"/>
    <w:rsid w:val="001720A0"/>
    <w:rsid w:val="0017211D"/>
    <w:rsid w:val="00172265"/>
    <w:rsid w:val="0017229C"/>
    <w:rsid w:val="00172704"/>
    <w:rsid w:val="00172772"/>
    <w:rsid w:val="00172793"/>
    <w:rsid w:val="0017281C"/>
    <w:rsid w:val="001728A7"/>
    <w:rsid w:val="001729FE"/>
    <w:rsid w:val="00172B23"/>
    <w:rsid w:val="00172DFE"/>
    <w:rsid w:val="00172F70"/>
    <w:rsid w:val="00172F8D"/>
    <w:rsid w:val="001734BE"/>
    <w:rsid w:val="0017361E"/>
    <w:rsid w:val="001737F4"/>
    <w:rsid w:val="00173832"/>
    <w:rsid w:val="00173A81"/>
    <w:rsid w:val="00173F20"/>
    <w:rsid w:val="00173FEA"/>
    <w:rsid w:val="0017445D"/>
    <w:rsid w:val="0017499A"/>
    <w:rsid w:val="00174A5A"/>
    <w:rsid w:val="00175282"/>
    <w:rsid w:val="0017534D"/>
    <w:rsid w:val="00175551"/>
    <w:rsid w:val="00175966"/>
    <w:rsid w:val="00175E63"/>
    <w:rsid w:val="00176051"/>
    <w:rsid w:val="0017611D"/>
    <w:rsid w:val="00176364"/>
    <w:rsid w:val="00176381"/>
    <w:rsid w:val="00176499"/>
    <w:rsid w:val="001764AA"/>
    <w:rsid w:val="00176890"/>
    <w:rsid w:val="00176F11"/>
    <w:rsid w:val="00177293"/>
    <w:rsid w:val="00177500"/>
    <w:rsid w:val="001776FD"/>
    <w:rsid w:val="001778A7"/>
    <w:rsid w:val="00177CF9"/>
    <w:rsid w:val="001800CD"/>
    <w:rsid w:val="0018015F"/>
    <w:rsid w:val="001803E8"/>
    <w:rsid w:val="001805DC"/>
    <w:rsid w:val="0018061E"/>
    <w:rsid w:val="00180754"/>
    <w:rsid w:val="00180A31"/>
    <w:rsid w:val="0018112F"/>
    <w:rsid w:val="001811DE"/>
    <w:rsid w:val="001813A2"/>
    <w:rsid w:val="0018144B"/>
    <w:rsid w:val="00181A1C"/>
    <w:rsid w:val="00181E1F"/>
    <w:rsid w:val="00181F00"/>
    <w:rsid w:val="0018243A"/>
    <w:rsid w:val="00182451"/>
    <w:rsid w:val="00182739"/>
    <w:rsid w:val="00182CB6"/>
    <w:rsid w:val="00182DC2"/>
    <w:rsid w:val="0018322A"/>
    <w:rsid w:val="001834F9"/>
    <w:rsid w:val="0018362E"/>
    <w:rsid w:val="001836DC"/>
    <w:rsid w:val="00184440"/>
    <w:rsid w:val="001845F3"/>
    <w:rsid w:val="0018497A"/>
    <w:rsid w:val="001853EE"/>
    <w:rsid w:val="001855DC"/>
    <w:rsid w:val="001856F7"/>
    <w:rsid w:val="001858FE"/>
    <w:rsid w:val="00185943"/>
    <w:rsid w:val="00185CDC"/>
    <w:rsid w:val="00185DFE"/>
    <w:rsid w:val="0018689F"/>
    <w:rsid w:val="00186B6E"/>
    <w:rsid w:val="00186EF1"/>
    <w:rsid w:val="00187248"/>
    <w:rsid w:val="00187292"/>
    <w:rsid w:val="00187311"/>
    <w:rsid w:val="00187673"/>
    <w:rsid w:val="0018779C"/>
    <w:rsid w:val="00187CCA"/>
    <w:rsid w:val="00187DA8"/>
    <w:rsid w:val="00187F86"/>
    <w:rsid w:val="001900A1"/>
    <w:rsid w:val="00190285"/>
    <w:rsid w:val="001903A4"/>
    <w:rsid w:val="001908D5"/>
    <w:rsid w:val="001909D7"/>
    <w:rsid w:val="00190AEB"/>
    <w:rsid w:val="00190E31"/>
    <w:rsid w:val="00190EF0"/>
    <w:rsid w:val="00190FEA"/>
    <w:rsid w:val="001916FD"/>
    <w:rsid w:val="00191948"/>
    <w:rsid w:val="00191CA3"/>
    <w:rsid w:val="00191D9C"/>
    <w:rsid w:val="0019218F"/>
    <w:rsid w:val="00192705"/>
    <w:rsid w:val="0019285B"/>
    <w:rsid w:val="001928C5"/>
    <w:rsid w:val="001938B8"/>
    <w:rsid w:val="001938F2"/>
    <w:rsid w:val="00193A2A"/>
    <w:rsid w:val="00193A59"/>
    <w:rsid w:val="00193F27"/>
    <w:rsid w:val="00193F80"/>
    <w:rsid w:val="0019480E"/>
    <w:rsid w:val="00194973"/>
    <w:rsid w:val="00195273"/>
    <w:rsid w:val="001954CB"/>
    <w:rsid w:val="0019552A"/>
    <w:rsid w:val="0019554C"/>
    <w:rsid w:val="00195686"/>
    <w:rsid w:val="001956FF"/>
    <w:rsid w:val="00195950"/>
    <w:rsid w:val="00195988"/>
    <w:rsid w:val="00195AD9"/>
    <w:rsid w:val="00195B22"/>
    <w:rsid w:val="00195C91"/>
    <w:rsid w:val="00195E54"/>
    <w:rsid w:val="00195FAA"/>
    <w:rsid w:val="0019607D"/>
    <w:rsid w:val="0019663D"/>
    <w:rsid w:val="00197088"/>
    <w:rsid w:val="001973B4"/>
    <w:rsid w:val="001975A0"/>
    <w:rsid w:val="0019774E"/>
    <w:rsid w:val="001978A7"/>
    <w:rsid w:val="00197A80"/>
    <w:rsid w:val="00197C37"/>
    <w:rsid w:val="00197EFF"/>
    <w:rsid w:val="001A019C"/>
    <w:rsid w:val="001A03AD"/>
    <w:rsid w:val="001A03B0"/>
    <w:rsid w:val="001A0425"/>
    <w:rsid w:val="001A05AD"/>
    <w:rsid w:val="001A068A"/>
    <w:rsid w:val="001A0838"/>
    <w:rsid w:val="001A0B99"/>
    <w:rsid w:val="001A118A"/>
    <w:rsid w:val="001A11F5"/>
    <w:rsid w:val="001A1322"/>
    <w:rsid w:val="001A1361"/>
    <w:rsid w:val="001A16A2"/>
    <w:rsid w:val="001A1820"/>
    <w:rsid w:val="001A1C46"/>
    <w:rsid w:val="001A1F03"/>
    <w:rsid w:val="001A207E"/>
    <w:rsid w:val="001A23EC"/>
    <w:rsid w:val="001A243F"/>
    <w:rsid w:val="001A2459"/>
    <w:rsid w:val="001A28EE"/>
    <w:rsid w:val="001A3661"/>
    <w:rsid w:val="001A3708"/>
    <w:rsid w:val="001A3A17"/>
    <w:rsid w:val="001A3BD8"/>
    <w:rsid w:val="001A3C27"/>
    <w:rsid w:val="001A3F14"/>
    <w:rsid w:val="001A3FEB"/>
    <w:rsid w:val="001A4050"/>
    <w:rsid w:val="001A40B2"/>
    <w:rsid w:val="001A4257"/>
    <w:rsid w:val="001A42C6"/>
    <w:rsid w:val="001A4769"/>
    <w:rsid w:val="001A4D53"/>
    <w:rsid w:val="001A4DD3"/>
    <w:rsid w:val="001A4FDE"/>
    <w:rsid w:val="001A57A4"/>
    <w:rsid w:val="001A57D8"/>
    <w:rsid w:val="001A5A6B"/>
    <w:rsid w:val="001A5EFC"/>
    <w:rsid w:val="001A60A5"/>
    <w:rsid w:val="001A60AD"/>
    <w:rsid w:val="001A6129"/>
    <w:rsid w:val="001A6179"/>
    <w:rsid w:val="001A61E0"/>
    <w:rsid w:val="001A641B"/>
    <w:rsid w:val="001A652B"/>
    <w:rsid w:val="001A67BC"/>
    <w:rsid w:val="001A67C3"/>
    <w:rsid w:val="001A692F"/>
    <w:rsid w:val="001A698D"/>
    <w:rsid w:val="001A6BD2"/>
    <w:rsid w:val="001A6F5D"/>
    <w:rsid w:val="001A7721"/>
    <w:rsid w:val="001A7761"/>
    <w:rsid w:val="001A78F5"/>
    <w:rsid w:val="001A7A95"/>
    <w:rsid w:val="001A7BDD"/>
    <w:rsid w:val="001A7BF8"/>
    <w:rsid w:val="001A7F41"/>
    <w:rsid w:val="001B00A0"/>
    <w:rsid w:val="001B0310"/>
    <w:rsid w:val="001B031C"/>
    <w:rsid w:val="001B037D"/>
    <w:rsid w:val="001B05D2"/>
    <w:rsid w:val="001B060B"/>
    <w:rsid w:val="001B0DF5"/>
    <w:rsid w:val="001B0F8C"/>
    <w:rsid w:val="001B1005"/>
    <w:rsid w:val="001B1026"/>
    <w:rsid w:val="001B11CD"/>
    <w:rsid w:val="001B13D0"/>
    <w:rsid w:val="001B1FC7"/>
    <w:rsid w:val="001B22ED"/>
    <w:rsid w:val="001B24D2"/>
    <w:rsid w:val="001B24D9"/>
    <w:rsid w:val="001B266D"/>
    <w:rsid w:val="001B2784"/>
    <w:rsid w:val="001B2D0E"/>
    <w:rsid w:val="001B2D12"/>
    <w:rsid w:val="001B2D9A"/>
    <w:rsid w:val="001B3297"/>
    <w:rsid w:val="001B33A8"/>
    <w:rsid w:val="001B379C"/>
    <w:rsid w:val="001B3C28"/>
    <w:rsid w:val="001B3EBA"/>
    <w:rsid w:val="001B402B"/>
    <w:rsid w:val="001B404D"/>
    <w:rsid w:val="001B4335"/>
    <w:rsid w:val="001B4347"/>
    <w:rsid w:val="001B4859"/>
    <w:rsid w:val="001B48F5"/>
    <w:rsid w:val="001B492F"/>
    <w:rsid w:val="001B4936"/>
    <w:rsid w:val="001B4B2F"/>
    <w:rsid w:val="001B4F51"/>
    <w:rsid w:val="001B5139"/>
    <w:rsid w:val="001B5141"/>
    <w:rsid w:val="001B5173"/>
    <w:rsid w:val="001B5393"/>
    <w:rsid w:val="001B549B"/>
    <w:rsid w:val="001B55C0"/>
    <w:rsid w:val="001B5661"/>
    <w:rsid w:val="001B57E7"/>
    <w:rsid w:val="001B58BA"/>
    <w:rsid w:val="001B5D90"/>
    <w:rsid w:val="001B6059"/>
    <w:rsid w:val="001B611D"/>
    <w:rsid w:val="001B661E"/>
    <w:rsid w:val="001B689E"/>
    <w:rsid w:val="001B68F4"/>
    <w:rsid w:val="001B6ECA"/>
    <w:rsid w:val="001B7074"/>
    <w:rsid w:val="001B70E2"/>
    <w:rsid w:val="001B7210"/>
    <w:rsid w:val="001B7226"/>
    <w:rsid w:val="001B72EB"/>
    <w:rsid w:val="001B7524"/>
    <w:rsid w:val="001B78B9"/>
    <w:rsid w:val="001B7AF2"/>
    <w:rsid w:val="001B7B20"/>
    <w:rsid w:val="001B7CF9"/>
    <w:rsid w:val="001B7E87"/>
    <w:rsid w:val="001C0756"/>
    <w:rsid w:val="001C08AB"/>
    <w:rsid w:val="001C0985"/>
    <w:rsid w:val="001C1048"/>
    <w:rsid w:val="001C11CB"/>
    <w:rsid w:val="001C17C7"/>
    <w:rsid w:val="001C1871"/>
    <w:rsid w:val="001C1949"/>
    <w:rsid w:val="001C19B3"/>
    <w:rsid w:val="001C1CCB"/>
    <w:rsid w:val="001C1EAC"/>
    <w:rsid w:val="001C2148"/>
    <w:rsid w:val="001C28A8"/>
    <w:rsid w:val="001C32EC"/>
    <w:rsid w:val="001C339F"/>
    <w:rsid w:val="001C37DD"/>
    <w:rsid w:val="001C3BDF"/>
    <w:rsid w:val="001C4358"/>
    <w:rsid w:val="001C438B"/>
    <w:rsid w:val="001C43B5"/>
    <w:rsid w:val="001C45F7"/>
    <w:rsid w:val="001C4980"/>
    <w:rsid w:val="001C4AD5"/>
    <w:rsid w:val="001C4B91"/>
    <w:rsid w:val="001C4DDA"/>
    <w:rsid w:val="001C4E78"/>
    <w:rsid w:val="001C4F37"/>
    <w:rsid w:val="001C4F85"/>
    <w:rsid w:val="001C4FBA"/>
    <w:rsid w:val="001C500E"/>
    <w:rsid w:val="001C5271"/>
    <w:rsid w:val="001C5450"/>
    <w:rsid w:val="001C55C6"/>
    <w:rsid w:val="001C5643"/>
    <w:rsid w:val="001C5724"/>
    <w:rsid w:val="001C579D"/>
    <w:rsid w:val="001C579E"/>
    <w:rsid w:val="001C5C4B"/>
    <w:rsid w:val="001C5DC7"/>
    <w:rsid w:val="001C636C"/>
    <w:rsid w:val="001C6A98"/>
    <w:rsid w:val="001C714B"/>
    <w:rsid w:val="001C7291"/>
    <w:rsid w:val="001C7293"/>
    <w:rsid w:val="001C7810"/>
    <w:rsid w:val="001C79C2"/>
    <w:rsid w:val="001C7A5B"/>
    <w:rsid w:val="001C7C18"/>
    <w:rsid w:val="001D0075"/>
    <w:rsid w:val="001D00CA"/>
    <w:rsid w:val="001D01C9"/>
    <w:rsid w:val="001D022B"/>
    <w:rsid w:val="001D0479"/>
    <w:rsid w:val="001D051D"/>
    <w:rsid w:val="001D074C"/>
    <w:rsid w:val="001D07FC"/>
    <w:rsid w:val="001D084D"/>
    <w:rsid w:val="001D0A26"/>
    <w:rsid w:val="001D0B94"/>
    <w:rsid w:val="001D0ECE"/>
    <w:rsid w:val="001D110C"/>
    <w:rsid w:val="001D11BA"/>
    <w:rsid w:val="001D1307"/>
    <w:rsid w:val="001D1587"/>
    <w:rsid w:val="001D1705"/>
    <w:rsid w:val="001D2584"/>
    <w:rsid w:val="001D2872"/>
    <w:rsid w:val="001D2B5A"/>
    <w:rsid w:val="001D2C3A"/>
    <w:rsid w:val="001D2DBA"/>
    <w:rsid w:val="001D2FB1"/>
    <w:rsid w:val="001D301D"/>
    <w:rsid w:val="001D3ABA"/>
    <w:rsid w:val="001D3C6F"/>
    <w:rsid w:val="001D3FED"/>
    <w:rsid w:val="001D4148"/>
    <w:rsid w:val="001D4274"/>
    <w:rsid w:val="001D4330"/>
    <w:rsid w:val="001D4513"/>
    <w:rsid w:val="001D4634"/>
    <w:rsid w:val="001D4778"/>
    <w:rsid w:val="001D4822"/>
    <w:rsid w:val="001D4987"/>
    <w:rsid w:val="001D4A7A"/>
    <w:rsid w:val="001D4CD6"/>
    <w:rsid w:val="001D50B1"/>
    <w:rsid w:val="001D548D"/>
    <w:rsid w:val="001D55C4"/>
    <w:rsid w:val="001D5662"/>
    <w:rsid w:val="001D5BFC"/>
    <w:rsid w:val="001D5CDA"/>
    <w:rsid w:val="001D5DF3"/>
    <w:rsid w:val="001D6018"/>
    <w:rsid w:val="001D605A"/>
    <w:rsid w:val="001D6726"/>
    <w:rsid w:val="001D6EC8"/>
    <w:rsid w:val="001D6F84"/>
    <w:rsid w:val="001D72A9"/>
    <w:rsid w:val="001D7363"/>
    <w:rsid w:val="001D75CE"/>
    <w:rsid w:val="001D7686"/>
    <w:rsid w:val="001D792D"/>
    <w:rsid w:val="001D797F"/>
    <w:rsid w:val="001D7CEF"/>
    <w:rsid w:val="001D7D8C"/>
    <w:rsid w:val="001D7EC9"/>
    <w:rsid w:val="001D7F27"/>
    <w:rsid w:val="001E015A"/>
    <w:rsid w:val="001E024F"/>
    <w:rsid w:val="001E0539"/>
    <w:rsid w:val="001E059A"/>
    <w:rsid w:val="001E0B33"/>
    <w:rsid w:val="001E0C62"/>
    <w:rsid w:val="001E112B"/>
    <w:rsid w:val="001E17C9"/>
    <w:rsid w:val="001E1982"/>
    <w:rsid w:val="001E21EF"/>
    <w:rsid w:val="001E21FA"/>
    <w:rsid w:val="001E2206"/>
    <w:rsid w:val="001E25A5"/>
    <w:rsid w:val="001E2824"/>
    <w:rsid w:val="001E2AA7"/>
    <w:rsid w:val="001E2DB8"/>
    <w:rsid w:val="001E2E04"/>
    <w:rsid w:val="001E305D"/>
    <w:rsid w:val="001E3330"/>
    <w:rsid w:val="001E3389"/>
    <w:rsid w:val="001E355F"/>
    <w:rsid w:val="001E3776"/>
    <w:rsid w:val="001E3B78"/>
    <w:rsid w:val="001E3BB7"/>
    <w:rsid w:val="001E4048"/>
    <w:rsid w:val="001E42FF"/>
    <w:rsid w:val="001E451A"/>
    <w:rsid w:val="001E48E8"/>
    <w:rsid w:val="001E4E36"/>
    <w:rsid w:val="001E5015"/>
    <w:rsid w:val="001E50C1"/>
    <w:rsid w:val="001E54BA"/>
    <w:rsid w:val="001E58F6"/>
    <w:rsid w:val="001E64FD"/>
    <w:rsid w:val="001E65FA"/>
    <w:rsid w:val="001E6832"/>
    <w:rsid w:val="001E6A0A"/>
    <w:rsid w:val="001E6B1F"/>
    <w:rsid w:val="001E6B28"/>
    <w:rsid w:val="001E6D49"/>
    <w:rsid w:val="001E6F98"/>
    <w:rsid w:val="001E72C0"/>
    <w:rsid w:val="001E72E3"/>
    <w:rsid w:val="001E73CF"/>
    <w:rsid w:val="001E77B5"/>
    <w:rsid w:val="001E78DA"/>
    <w:rsid w:val="001E7A33"/>
    <w:rsid w:val="001E7BC1"/>
    <w:rsid w:val="001E7DE2"/>
    <w:rsid w:val="001E7EBB"/>
    <w:rsid w:val="001E7F1B"/>
    <w:rsid w:val="001E7F48"/>
    <w:rsid w:val="001F0261"/>
    <w:rsid w:val="001F038A"/>
    <w:rsid w:val="001F04D3"/>
    <w:rsid w:val="001F0718"/>
    <w:rsid w:val="001F0913"/>
    <w:rsid w:val="001F0A41"/>
    <w:rsid w:val="001F0B6A"/>
    <w:rsid w:val="001F0D96"/>
    <w:rsid w:val="001F1279"/>
    <w:rsid w:val="001F173A"/>
    <w:rsid w:val="001F1A5F"/>
    <w:rsid w:val="001F1CA8"/>
    <w:rsid w:val="001F1DD6"/>
    <w:rsid w:val="001F1F81"/>
    <w:rsid w:val="001F2047"/>
    <w:rsid w:val="001F25CE"/>
    <w:rsid w:val="001F2685"/>
    <w:rsid w:val="001F28FF"/>
    <w:rsid w:val="001F2970"/>
    <w:rsid w:val="001F2A07"/>
    <w:rsid w:val="001F2AF2"/>
    <w:rsid w:val="001F2B87"/>
    <w:rsid w:val="001F2BA1"/>
    <w:rsid w:val="001F2E2A"/>
    <w:rsid w:val="001F366A"/>
    <w:rsid w:val="001F3714"/>
    <w:rsid w:val="001F38CE"/>
    <w:rsid w:val="001F3A5F"/>
    <w:rsid w:val="001F3ED5"/>
    <w:rsid w:val="001F4007"/>
    <w:rsid w:val="001F409A"/>
    <w:rsid w:val="001F4416"/>
    <w:rsid w:val="001F4769"/>
    <w:rsid w:val="001F47F5"/>
    <w:rsid w:val="001F49BD"/>
    <w:rsid w:val="001F49FE"/>
    <w:rsid w:val="001F4BB4"/>
    <w:rsid w:val="001F4BBF"/>
    <w:rsid w:val="001F4C40"/>
    <w:rsid w:val="001F5102"/>
    <w:rsid w:val="001F5584"/>
    <w:rsid w:val="001F55D5"/>
    <w:rsid w:val="001F5720"/>
    <w:rsid w:val="001F5A49"/>
    <w:rsid w:val="001F5CF9"/>
    <w:rsid w:val="001F5E20"/>
    <w:rsid w:val="001F6097"/>
    <w:rsid w:val="001F614A"/>
    <w:rsid w:val="001F6529"/>
    <w:rsid w:val="001F6637"/>
    <w:rsid w:val="001F6A98"/>
    <w:rsid w:val="001F6AA8"/>
    <w:rsid w:val="001F6B74"/>
    <w:rsid w:val="001F6C59"/>
    <w:rsid w:val="001F6DE5"/>
    <w:rsid w:val="001F6EA7"/>
    <w:rsid w:val="001F6F7E"/>
    <w:rsid w:val="001F7066"/>
    <w:rsid w:val="001F712F"/>
    <w:rsid w:val="001F731A"/>
    <w:rsid w:val="001F793F"/>
    <w:rsid w:val="002000A7"/>
    <w:rsid w:val="00200277"/>
    <w:rsid w:val="002002A4"/>
    <w:rsid w:val="002003E0"/>
    <w:rsid w:val="002007B7"/>
    <w:rsid w:val="00200A56"/>
    <w:rsid w:val="00200C5C"/>
    <w:rsid w:val="00200D94"/>
    <w:rsid w:val="00200FE7"/>
    <w:rsid w:val="0020157A"/>
    <w:rsid w:val="002016D4"/>
    <w:rsid w:val="002019A5"/>
    <w:rsid w:val="00201BFB"/>
    <w:rsid w:val="00201F41"/>
    <w:rsid w:val="0020209D"/>
    <w:rsid w:val="002021E7"/>
    <w:rsid w:val="00202213"/>
    <w:rsid w:val="00202405"/>
    <w:rsid w:val="00202541"/>
    <w:rsid w:val="002025DC"/>
    <w:rsid w:val="0020265A"/>
    <w:rsid w:val="0020277B"/>
    <w:rsid w:val="00202807"/>
    <w:rsid w:val="0020295E"/>
    <w:rsid w:val="002029FC"/>
    <w:rsid w:val="00202C21"/>
    <w:rsid w:val="00203217"/>
    <w:rsid w:val="00203315"/>
    <w:rsid w:val="00203449"/>
    <w:rsid w:val="002035CD"/>
    <w:rsid w:val="002036A3"/>
    <w:rsid w:val="00203768"/>
    <w:rsid w:val="00203A2A"/>
    <w:rsid w:val="00203C81"/>
    <w:rsid w:val="00203E20"/>
    <w:rsid w:val="00203FBE"/>
    <w:rsid w:val="00204666"/>
    <w:rsid w:val="0020468A"/>
    <w:rsid w:val="0020499E"/>
    <w:rsid w:val="00204A86"/>
    <w:rsid w:val="00204D52"/>
    <w:rsid w:val="00204E7D"/>
    <w:rsid w:val="0020502A"/>
    <w:rsid w:val="00205355"/>
    <w:rsid w:val="0020539B"/>
    <w:rsid w:val="00205763"/>
    <w:rsid w:val="00205D36"/>
    <w:rsid w:val="00205F61"/>
    <w:rsid w:val="00206160"/>
    <w:rsid w:val="0020642C"/>
    <w:rsid w:val="002064BC"/>
    <w:rsid w:val="002064E2"/>
    <w:rsid w:val="00206756"/>
    <w:rsid w:val="00206D6B"/>
    <w:rsid w:val="00207013"/>
    <w:rsid w:val="00207094"/>
    <w:rsid w:val="0020710B"/>
    <w:rsid w:val="002071B0"/>
    <w:rsid w:val="0020730B"/>
    <w:rsid w:val="0020736D"/>
    <w:rsid w:val="00207409"/>
    <w:rsid w:val="002076C6"/>
    <w:rsid w:val="002077D4"/>
    <w:rsid w:val="00207840"/>
    <w:rsid w:val="00207BDC"/>
    <w:rsid w:val="00207D6F"/>
    <w:rsid w:val="00210018"/>
    <w:rsid w:val="00210159"/>
    <w:rsid w:val="002104B5"/>
    <w:rsid w:val="0021078D"/>
    <w:rsid w:val="00210961"/>
    <w:rsid w:val="002109C1"/>
    <w:rsid w:val="00210C3C"/>
    <w:rsid w:val="00210D0F"/>
    <w:rsid w:val="00210D18"/>
    <w:rsid w:val="002116D8"/>
    <w:rsid w:val="002118BC"/>
    <w:rsid w:val="00211AD2"/>
    <w:rsid w:val="00211E35"/>
    <w:rsid w:val="00212371"/>
    <w:rsid w:val="0021254E"/>
    <w:rsid w:val="0021267A"/>
    <w:rsid w:val="002126DA"/>
    <w:rsid w:val="00212ECF"/>
    <w:rsid w:val="00212F61"/>
    <w:rsid w:val="00213019"/>
    <w:rsid w:val="002130B1"/>
    <w:rsid w:val="0021316B"/>
    <w:rsid w:val="0021330D"/>
    <w:rsid w:val="00213326"/>
    <w:rsid w:val="0021339C"/>
    <w:rsid w:val="00213563"/>
    <w:rsid w:val="00213D22"/>
    <w:rsid w:val="00213E1C"/>
    <w:rsid w:val="00213E30"/>
    <w:rsid w:val="00214008"/>
    <w:rsid w:val="0021403A"/>
    <w:rsid w:val="0021407A"/>
    <w:rsid w:val="002140EB"/>
    <w:rsid w:val="002141AA"/>
    <w:rsid w:val="002143DD"/>
    <w:rsid w:val="002143DE"/>
    <w:rsid w:val="0021445D"/>
    <w:rsid w:val="0021469C"/>
    <w:rsid w:val="002148C7"/>
    <w:rsid w:val="00214BAB"/>
    <w:rsid w:val="00214BE9"/>
    <w:rsid w:val="00214E54"/>
    <w:rsid w:val="00214F36"/>
    <w:rsid w:val="00215135"/>
    <w:rsid w:val="002153C5"/>
    <w:rsid w:val="0021542E"/>
    <w:rsid w:val="00215618"/>
    <w:rsid w:val="00215915"/>
    <w:rsid w:val="0021596E"/>
    <w:rsid w:val="002159D5"/>
    <w:rsid w:val="00215CBC"/>
    <w:rsid w:val="00215CCA"/>
    <w:rsid w:val="00215D30"/>
    <w:rsid w:val="00215F65"/>
    <w:rsid w:val="00216186"/>
    <w:rsid w:val="002164CA"/>
    <w:rsid w:val="0021698C"/>
    <w:rsid w:val="00216B07"/>
    <w:rsid w:val="00216D7A"/>
    <w:rsid w:val="00217118"/>
    <w:rsid w:val="0021722B"/>
    <w:rsid w:val="00217332"/>
    <w:rsid w:val="0021744A"/>
    <w:rsid w:val="0021744C"/>
    <w:rsid w:val="00217492"/>
    <w:rsid w:val="002174FD"/>
    <w:rsid w:val="0021752B"/>
    <w:rsid w:val="0021757B"/>
    <w:rsid w:val="002178A3"/>
    <w:rsid w:val="0021799D"/>
    <w:rsid w:val="00217ADC"/>
    <w:rsid w:val="00217F28"/>
    <w:rsid w:val="0022028C"/>
    <w:rsid w:val="002204BE"/>
    <w:rsid w:val="002205D5"/>
    <w:rsid w:val="00220772"/>
    <w:rsid w:val="00220871"/>
    <w:rsid w:val="002208A8"/>
    <w:rsid w:val="002209A0"/>
    <w:rsid w:val="00220A8B"/>
    <w:rsid w:val="00220B28"/>
    <w:rsid w:val="00220C3B"/>
    <w:rsid w:val="00221173"/>
    <w:rsid w:val="002211E9"/>
    <w:rsid w:val="002212E1"/>
    <w:rsid w:val="0022156E"/>
    <w:rsid w:val="00221630"/>
    <w:rsid w:val="002217DD"/>
    <w:rsid w:val="0022188D"/>
    <w:rsid w:val="00221BBA"/>
    <w:rsid w:val="00221D66"/>
    <w:rsid w:val="00222080"/>
    <w:rsid w:val="0022210B"/>
    <w:rsid w:val="00222368"/>
    <w:rsid w:val="00222470"/>
    <w:rsid w:val="00222536"/>
    <w:rsid w:val="0022254D"/>
    <w:rsid w:val="002226E1"/>
    <w:rsid w:val="002229A7"/>
    <w:rsid w:val="00222AFB"/>
    <w:rsid w:val="00222E01"/>
    <w:rsid w:val="00223526"/>
    <w:rsid w:val="002237FF"/>
    <w:rsid w:val="0022396C"/>
    <w:rsid w:val="00223A46"/>
    <w:rsid w:val="00223B3E"/>
    <w:rsid w:val="00223CB9"/>
    <w:rsid w:val="00223CEC"/>
    <w:rsid w:val="0022412F"/>
    <w:rsid w:val="00224295"/>
    <w:rsid w:val="002243AE"/>
    <w:rsid w:val="00224564"/>
    <w:rsid w:val="0022481B"/>
    <w:rsid w:val="00224C9A"/>
    <w:rsid w:val="00224CEB"/>
    <w:rsid w:val="002254D4"/>
    <w:rsid w:val="0022573B"/>
    <w:rsid w:val="00225C18"/>
    <w:rsid w:val="00225C69"/>
    <w:rsid w:val="00225C98"/>
    <w:rsid w:val="00225CC4"/>
    <w:rsid w:val="00225F2B"/>
    <w:rsid w:val="002261C6"/>
    <w:rsid w:val="00226A56"/>
    <w:rsid w:val="00226A90"/>
    <w:rsid w:val="00226D12"/>
    <w:rsid w:val="00226FF5"/>
    <w:rsid w:val="0022708D"/>
    <w:rsid w:val="002271EA"/>
    <w:rsid w:val="0022720E"/>
    <w:rsid w:val="00227685"/>
    <w:rsid w:val="0022769B"/>
    <w:rsid w:val="00227734"/>
    <w:rsid w:val="00227E30"/>
    <w:rsid w:val="00227E58"/>
    <w:rsid w:val="00227FD5"/>
    <w:rsid w:val="002300D0"/>
    <w:rsid w:val="0023125F"/>
    <w:rsid w:val="00231497"/>
    <w:rsid w:val="00231716"/>
    <w:rsid w:val="00231734"/>
    <w:rsid w:val="00231889"/>
    <w:rsid w:val="00231910"/>
    <w:rsid w:val="00231976"/>
    <w:rsid w:val="00231D60"/>
    <w:rsid w:val="00232167"/>
    <w:rsid w:val="0023231B"/>
    <w:rsid w:val="00232890"/>
    <w:rsid w:val="00232948"/>
    <w:rsid w:val="00232962"/>
    <w:rsid w:val="00232970"/>
    <w:rsid w:val="00232AAF"/>
    <w:rsid w:val="00232E0F"/>
    <w:rsid w:val="002330BF"/>
    <w:rsid w:val="00233265"/>
    <w:rsid w:val="002332ED"/>
    <w:rsid w:val="00233338"/>
    <w:rsid w:val="00233616"/>
    <w:rsid w:val="00233C24"/>
    <w:rsid w:val="00233EF7"/>
    <w:rsid w:val="00234526"/>
    <w:rsid w:val="00234A01"/>
    <w:rsid w:val="0023516A"/>
    <w:rsid w:val="00235408"/>
    <w:rsid w:val="002359D4"/>
    <w:rsid w:val="00235A4B"/>
    <w:rsid w:val="00235B17"/>
    <w:rsid w:val="00235BCC"/>
    <w:rsid w:val="00235C9E"/>
    <w:rsid w:val="00236438"/>
    <w:rsid w:val="00236A98"/>
    <w:rsid w:val="00236CCF"/>
    <w:rsid w:val="00236CD7"/>
    <w:rsid w:val="002379B5"/>
    <w:rsid w:val="00237EFB"/>
    <w:rsid w:val="002400D6"/>
    <w:rsid w:val="002404C7"/>
    <w:rsid w:val="00240575"/>
    <w:rsid w:val="00240A12"/>
    <w:rsid w:val="00240A41"/>
    <w:rsid w:val="00240ACB"/>
    <w:rsid w:val="00240E3E"/>
    <w:rsid w:val="00241466"/>
    <w:rsid w:val="002414BA"/>
    <w:rsid w:val="002416D3"/>
    <w:rsid w:val="00241BA6"/>
    <w:rsid w:val="00241FA8"/>
    <w:rsid w:val="00242016"/>
    <w:rsid w:val="002420D2"/>
    <w:rsid w:val="0024234D"/>
    <w:rsid w:val="0024237A"/>
    <w:rsid w:val="002423F4"/>
    <w:rsid w:val="002428E4"/>
    <w:rsid w:val="002429A0"/>
    <w:rsid w:val="00242ACD"/>
    <w:rsid w:val="00242D7E"/>
    <w:rsid w:val="0024335C"/>
    <w:rsid w:val="00243ACE"/>
    <w:rsid w:val="00243EE1"/>
    <w:rsid w:val="002441DF"/>
    <w:rsid w:val="00244379"/>
    <w:rsid w:val="00244471"/>
    <w:rsid w:val="002444AB"/>
    <w:rsid w:val="0024471A"/>
    <w:rsid w:val="00244A64"/>
    <w:rsid w:val="00244D14"/>
    <w:rsid w:val="00244DCB"/>
    <w:rsid w:val="00244EC1"/>
    <w:rsid w:val="00245CDD"/>
    <w:rsid w:val="00245D1A"/>
    <w:rsid w:val="00245DDB"/>
    <w:rsid w:val="002460E4"/>
    <w:rsid w:val="00246217"/>
    <w:rsid w:val="002462F6"/>
    <w:rsid w:val="00246370"/>
    <w:rsid w:val="00246392"/>
    <w:rsid w:val="0024677B"/>
    <w:rsid w:val="002469A4"/>
    <w:rsid w:val="00246B69"/>
    <w:rsid w:val="00246BE8"/>
    <w:rsid w:val="00246C95"/>
    <w:rsid w:val="00246D69"/>
    <w:rsid w:val="00246F42"/>
    <w:rsid w:val="0024700A"/>
    <w:rsid w:val="002471C3"/>
    <w:rsid w:val="00247245"/>
    <w:rsid w:val="002477B8"/>
    <w:rsid w:val="00247C98"/>
    <w:rsid w:val="00247E59"/>
    <w:rsid w:val="00247F74"/>
    <w:rsid w:val="002501FB"/>
    <w:rsid w:val="00250498"/>
    <w:rsid w:val="002504F2"/>
    <w:rsid w:val="0025065D"/>
    <w:rsid w:val="002507F4"/>
    <w:rsid w:val="00250828"/>
    <w:rsid w:val="00250B10"/>
    <w:rsid w:val="00250DE3"/>
    <w:rsid w:val="00250EF1"/>
    <w:rsid w:val="00251120"/>
    <w:rsid w:val="00251612"/>
    <w:rsid w:val="00251812"/>
    <w:rsid w:val="002518A7"/>
    <w:rsid w:val="002518C4"/>
    <w:rsid w:val="00251940"/>
    <w:rsid w:val="002519AB"/>
    <w:rsid w:val="00251E47"/>
    <w:rsid w:val="00251EC4"/>
    <w:rsid w:val="002522A7"/>
    <w:rsid w:val="0025230A"/>
    <w:rsid w:val="00252636"/>
    <w:rsid w:val="00252785"/>
    <w:rsid w:val="00252962"/>
    <w:rsid w:val="00252986"/>
    <w:rsid w:val="00252B8A"/>
    <w:rsid w:val="002530F9"/>
    <w:rsid w:val="00253358"/>
    <w:rsid w:val="002534EF"/>
    <w:rsid w:val="00253645"/>
    <w:rsid w:val="002538EC"/>
    <w:rsid w:val="00253BB2"/>
    <w:rsid w:val="00253BE8"/>
    <w:rsid w:val="00253C6E"/>
    <w:rsid w:val="00253E5C"/>
    <w:rsid w:val="00253F16"/>
    <w:rsid w:val="00253FAE"/>
    <w:rsid w:val="00254128"/>
    <w:rsid w:val="00254295"/>
    <w:rsid w:val="00254634"/>
    <w:rsid w:val="0025476F"/>
    <w:rsid w:val="00254AC4"/>
    <w:rsid w:val="00254F6A"/>
    <w:rsid w:val="0025566D"/>
    <w:rsid w:val="0025567D"/>
    <w:rsid w:val="002556A3"/>
    <w:rsid w:val="00255753"/>
    <w:rsid w:val="00255DFB"/>
    <w:rsid w:val="002563AB"/>
    <w:rsid w:val="00256423"/>
    <w:rsid w:val="002566A3"/>
    <w:rsid w:val="00256A5D"/>
    <w:rsid w:val="00256F62"/>
    <w:rsid w:val="00256FE7"/>
    <w:rsid w:val="002570CA"/>
    <w:rsid w:val="00257C77"/>
    <w:rsid w:val="00257EA2"/>
    <w:rsid w:val="00257F86"/>
    <w:rsid w:val="00260004"/>
    <w:rsid w:val="0026001B"/>
    <w:rsid w:val="00260036"/>
    <w:rsid w:val="0026005B"/>
    <w:rsid w:val="002600C7"/>
    <w:rsid w:val="002602A5"/>
    <w:rsid w:val="002602A9"/>
    <w:rsid w:val="0026045C"/>
    <w:rsid w:val="00260573"/>
    <w:rsid w:val="00260E0D"/>
    <w:rsid w:val="00260E4C"/>
    <w:rsid w:val="002610B4"/>
    <w:rsid w:val="002611D4"/>
    <w:rsid w:val="002612BA"/>
    <w:rsid w:val="002617D7"/>
    <w:rsid w:val="00261936"/>
    <w:rsid w:val="0026199B"/>
    <w:rsid w:val="00261E36"/>
    <w:rsid w:val="00261FF9"/>
    <w:rsid w:val="002620FD"/>
    <w:rsid w:val="00262131"/>
    <w:rsid w:val="00262143"/>
    <w:rsid w:val="002626FF"/>
    <w:rsid w:val="00262A80"/>
    <w:rsid w:val="00262CF2"/>
    <w:rsid w:val="00262CF4"/>
    <w:rsid w:val="00262D3F"/>
    <w:rsid w:val="00262D85"/>
    <w:rsid w:val="002630B1"/>
    <w:rsid w:val="0026352A"/>
    <w:rsid w:val="00263658"/>
    <w:rsid w:val="002636A4"/>
    <w:rsid w:val="00263E15"/>
    <w:rsid w:val="00263E69"/>
    <w:rsid w:val="002642B9"/>
    <w:rsid w:val="002648E4"/>
    <w:rsid w:val="002649E0"/>
    <w:rsid w:val="00264F11"/>
    <w:rsid w:val="00265121"/>
    <w:rsid w:val="002651CE"/>
    <w:rsid w:val="00265254"/>
    <w:rsid w:val="00265328"/>
    <w:rsid w:val="002655AD"/>
    <w:rsid w:val="00265995"/>
    <w:rsid w:val="00265A3A"/>
    <w:rsid w:val="00265A68"/>
    <w:rsid w:val="00265BF3"/>
    <w:rsid w:val="00265E60"/>
    <w:rsid w:val="00265E8B"/>
    <w:rsid w:val="00265F07"/>
    <w:rsid w:val="00266359"/>
    <w:rsid w:val="002666CF"/>
    <w:rsid w:val="002667BF"/>
    <w:rsid w:val="00267234"/>
    <w:rsid w:val="002672A2"/>
    <w:rsid w:val="00267439"/>
    <w:rsid w:val="002675B7"/>
    <w:rsid w:val="00267A35"/>
    <w:rsid w:val="00267CED"/>
    <w:rsid w:val="00267F3E"/>
    <w:rsid w:val="00270191"/>
    <w:rsid w:val="0027088E"/>
    <w:rsid w:val="002708E7"/>
    <w:rsid w:val="0027113B"/>
    <w:rsid w:val="00271A3D"/>
    <w:rsid w:val="00271C20"/>
    <w:rsid w:val="002723AC"/>
    <w:rsid w:val="002723D5"/>
    <w:rsid w:val="00272607"/>
    <w:rsid w:val="002726CE"/>
    <w:rsid w:val="002728D4"/>
    <w:rsid w:val="002730EA"/>
    <w:rsid w:val="0027409E"/>
    <w:rsid w:val="002741AB"/>
    <w:rsid w:val="0027421C"/>
    <w:rsid w:val="0027421E"/>
    <w:rsid w:val="00274791"/>
    <w:rsid w:val="00274CC4"/>
    <w:rsid w:val="00274D29"/>
    <w:rsid w:val="00275239"/>
    <w:rsid w:val="0027544A"/>
    <w:rsid w:val="00275C07"/>
    <w:rsid w:val="00275DDF"/>
    <w:rsid w:val="00275EE9"/>
    <w:rsid w:val="00275F1E"/>
    <w:rsid w:val="00275FF2"/>
    <w:rsid w:val="0027607F"/>
    <w:rsid w:val="002765CD"/>
    <w:rsid w:val="00276631"/>
    <w:rsid w:val="00276692"/>
    <w:rsid w:val="002769F5"/>
    <w:rsid w:val="00276B5D"/>
    <w:rsid w:val="00276CCE"/>
    <w:rsid w:val="00276D25"/>
    <w:rsid w:val="0027703F"/>
    <w:rsid w:val="00277151"/>
    <w:rsid w:val="00277240"/>
    <w:rsid w:val="00277848"/>
    <w:rsid w:val="00277B8C"/>
    <w:rsid w:val="00277CBF"/>
    <w:rsid w:val="00277D17"/>
    <w:rsid w:val="0028044A"/>
    <w:rsid w:val="0028086F"/>
    <w:rsid w:val="00280892"/>
    <w:rsid w:val="00280968"/>
    <w:rsid w:val="00280B7D"/>
    <w:rsid w:val="0028118D"/>
    <w:rsid w:val="002812EC"/>
    <w:rsid w:val="002813BB"/>
    <w:rsid w:val="002816C1"/>
    <w:rsid w:val="00281A8D"/>
    <w:rsid w:val="00281CB9"/>
    <w:rsid w:val="002820C7"/>
    <w:rsid w:val="00282571"/>
    <w:rsid w:val="002826E0"/>
    <w:rsid w:val="002827EE"/>
    <w:rsid w:val="00282A51"/>
    <w:rsid w:val="00282DD5"/>
    <w:rsid w:val="002830B2"/>
    <w:rsid w:val="00283208"/>
    <w:rsid w:val="0028350C"/>
    <w:rsid w:val="00283C77"/>
    <w:rsid w:val="00283E72"/>
    <w:rsid w:val="0028409E"/>
    <w:rsid w:val="00284308"/>
    <w:rsid w:val="00284646"/>
    <w:rsid w:val="002847AE"/>
    <w:rsid w:val="002847EA"/>
    <w:rsid w:val="002848C3"/>
    <w:rsid w:val="00284B8E"/>
    <w:rsid w:val="00284CB3"/>
    <w:rsid w:val="00284DCA"/>
    <w:rsid w:val="00284FCA"/>
    <w:rsid w:val="00285042"/>
    <w:rsid w:val="0028526C"/>
    <w:rsid w:val="00285393"/>
    <w:rsid w:val="0028551E"/>
    <w:rsid w:val="00285606"/>
    <w:rsid w:val="0028565E"/>
    <w:rsid w:val="002859B7"/>
    <w:rsid w:val="00285D9A"/>
    <w:rsid w:val="0028654F"/>
    <w:rsid w:val="00286725"/>
    <w:rsid w:val="0028677F"/>
    <w:rsid w:val="0028680F"/>
    <w:rsid w:val="00286967"/>
    <w:rsid w:val="002869B1"/>
    <w:rsid w:val="00286B0F"/>
    <w:rsid w:val="002876C1"/>
    <w:rsid w:val="00287788"/>
    <w:rsid w:val="00287AD4"/>
    <w:rsid w:val="00287AFB"/>
    <w:rsid w:val="00287D29"/>
    <w:rsid w:val="00287D83"/>
    <w:rsid w:val="00290561"/>
    <w:rsid w:val="0029090C"/>
    <w:rsid w:val="00290A85"/>
    <w:rsid w:val="00290CEF"/>
    <w:rsid w:val="00290D5A"/>
    <w:rsid w:val="002913EB"/>
    <w:rsid w:val="002914B6"/>
    <w:rsid w:val="0029171B"/>
    <w:rsid w:val="00291C0C"/>
    <w:rsid w:val="00291FCA"/>
    <w:rsid w:val="00292073"/>
    <w:rsid w:val="00292124"/>
    <w:rsid w:val="002921DD"/>
    <w:rsid w:val="002923A6"/>
    <w:rsid w:val="0029273C"/>
    <w:rsid w:val="00292950"/>
    <w:rsid w:val="00292987"/>
    <w:rsid w:val="00292B25"/>
    <w:rsid w:val="00292C08"/>
    <w:rsid w:val="00292D24"/>
    <w:rsid w:val="00292E03"/>
    <w:rsid w:val="00292E2D"/>
    <w:rsid w:val="00292EF1"/>
    <w:rsid w:val="002930B7"/>
    <w:rsid w:val="002936A3"/>
    <w:rsid w:val="002936E8"/>
    <w:rsid w:val="0029385C"/>
    <w:rsid w:val="00293F22"/>
    <w:rsid w:val="0029419C"/>
    <w:rsid w:val="00294217"/>
    <w:rsid w:val="002942B2"/>
    <w:rsid w:val="002943E0"/>
    <w:rsid w:val="002948EC"/>
    <w:rsid w:val="00294A0F"/>
    <w:rsid w:val="00294B6D"/>
    <w:rsid w:val="00294E06"/>
    <w:rsid w:val="00295014"/>
    <w:rsid w:val="00295471"/>
    <w:rsid w:val="002954BC"/>
    <w:rsid w:val="002955A9"/>
    <w:rsid w:val="002957A3"/>
    <w:rsid w:val="002959C3"/>
    <w:rsid w:val="002960E3"/>
    <w:rsid w:val="002966C6"/>
    <w:rsid w:val="00296774"/>
    <w:rsid w:val="002969CF"/>
    <w:rsid w:val="00297008"/>
    <w:rsid w:val="002970D5"/>
    <w:rsid w:val="00297170"/>
    <w:rsid w:val="002975FE"/>
    <w:rsid w:val="0029776C"/>
    <w:rsid w:val="00297999"/>
    <w:rsid w:val="00297EB8"/>
    <w:rsid w:val="002A0455"/>
    <w:rsid w:val="002A07A1"/>
    <w:rsid w:val="002A0A7F"/>
    <w:rsid w:val="002A0AC1"/>
    <w:rsid w:val="002A0D28"/>
    <w:rsid w:val="002A162C"/>
    <w:rsid w:val="002A1690"/>
    <w:rsid w:val="002A186B"/>
    <w:rsid w:val="002A1AF6"/>
    <w:rsid w:val="002A1B33"/>
    <w:rsid w:val="002A1D94"/>
    <w:rsid w:val="002A1F1C"/>
    <w:rsid w:val="002A20D2"/>
    <w:rsid w:val="002A2501"/>
    <w:rsid w:val="002A269A"/>
    <w:rsid w:val="002A2807"/>
    <w:rsid w:val="002A2D94"/>
    <w:rsid w:val="002A3091"/>
    <w:rsid w:val="002A358B"/>
    <w:rsid w:val="002A39F2"/>
    <w:rsid w:val="002A42BF"/>
    <w:rsid w:val="002A44F6"/>
    <w:rsid w:val="002A457B"/>
    <w:rsid w:val="002A4757"/>
    <w:rsid w:val="002A4837"/>
    <w:rsid w:val="002A4C74"/>
    <w:rsid w:val="002A5019"/>
    <w:rsid w:val="002A555F"/>
    <w:rsid w:val="002A55F3"/>
    <w:rsid w:val="002A5734"/>
    <w:rsid w:val="002A5A0B"/>
    <w:rsid w:val="002A5D7A"/>
    <w:rsid w:val="002A5E09"/>
    <w:rsid w:val="002A5E47"/>
    <w:rsid w:val="002A60D6"/>
    <w:rsid w:val="002A630C"/>
    <w:rsid w:val="002A661B"/>
    <w:rsid w:val="002A6723"/>
    <w:rsid w:val="002A6DD8"/>
    <w:rsid w:val="002A6FDD"/>
    <w:rsid w:val="002A746C"/>
    <w:rsid w:val="002A7549"/>
    <w:rsid w:val="002A75DD"/>
    <w:rsid w:val="002A765A"/>
    <w:rsid w:val="002A7709"/>
    <w:rsid w:val="002A7A0D"/>
    <w:rsid w:val="002A7BB2"/>
    <w:rsid w:val="002A7CEE"/>
    <w:rsid w:val="002A7DD4"/>
    <w:rsid w:val="002A7EE4"/>
    <w:rsid w:val="002B0018"/>
    <w:rsid w:val="002B00F9"/>
    <w:rsid w:val="002B014F"/>
    <w:rsid w:val="002B0390"/>
    <w:rsid w:val="002B05A8"/>
    <w:rsid w:val="002B075A"/>
    <w:rsid w:val="002B0AC7"/>
    <w:rsid w:val="002B0B0D"/>
    <w:rsid w:val="002B0D71"/>
    <w:rsid w:val="002B10F9"/>
    <w:rsid w:val="002B119B"/>
    <w:rsid w:val="002B161E"/>
    <w:rsid w:val="002B188A"/>
    <w:rsid w:val="002B189F"/>
    <w:rsid w:val="002B19A0"/>
    <w:rsid w:val="002B1BFF"/>
    <w:rsid w:val="002B2007"/>
    <w:rsid w:val="002B2234"/>
    <w:rsid w:val="002B2265"/>
    <w:rsid w:val="002B2353"/>
    <w:rsid w:val="002B244A"/>
    <w:rsid w:val="002B282B"/>
    <w:rsid w:val="002B28A3"/>
    <w:rsid w:val="002B2A60"/>
    <w:rsid w:val="002B2AA4"/>
    <w:rsid w:val="002B2D04"/>
    <w:rsid w:val="002B2F1C"/>
    <w:rsid w:val="002B30BA"/>
    <w:rsid w:val="002B3191"/>
    <w:rsid w:val="002B35EF"/>
    <w:rsid w:val="002B37FB"/>
    <w:rsid w:val="002B393D"/>
    <w:rsid w:val="002B3A1D"/>
    <w:rsid w:val="002B3A31"/>
    <w:rsid w:val="002B3AF9"/>
    <w:rsid w:val="002B3B0B"/>
    <w:rsid w:val="002B3CE6"/>
    <w:rsid w:val="002B4183"/>
    <w:rsid w:val="002B4589"/>
    <w:rsid w:val="002B45C7"/>
    <w:rsid w:val="002B465E"/>
    <w:rsid w:val="002B4D8A"/>
    <w:rsid w:val="002B4FF4"/>
    <w:rsid w:val="002B502E"/>
    <w:rsid w:val="002B51B1"/>
    <w:rsid w:val="002B551C"/>
    <w:rsid w:val="002B5690"/>
    <w:rsid w:val="002B58AB"/>
    <w:rsid w:val="002B599B"/>
    <w:rsid w:val="002B5D08"/>
    <w:rsid w:val="002B5F96"/>
    <w:rsid w:val="002B61EE"/>
    <w:rsid w:val="002B63DB"/>
    <w:rsid w:val="002B6B7F"/>
    <w:rsid w:val="002B6BA2"/>
    <w:rsid w:val="002B6CC4"/>
    <w:rsid w:val="002B6DFA"/>
    <w:rsid w:val="002B70F7"/>
    <w:rsid w:val="002B73DD"/>
    <w:rsid w:val="002B7425"/>
    <w:rsid w:val="002B77B0"/>
    <w:rsid w:val="002B789E"/>
    <w:rsid w:val="002B7987"/>
    <w:rsid w:val="002B79A9"/>
    <w:rsid w:val="002B7E98"/>
    <w:rsid w:val="002B7F3C"/>
    <w:rsid w:val="002C00EF"/>
    <w:rsid w:val="002C0105"/>
    <w:rsid w:val="002C0427"/>
    <w:rsid w:val="002C0695"/>
    <w:rsid w:val="002C07AC"/>
    <w:rsid w:val="002C0C66"/>
    <w:rsid w:val="002C1170"/>
    <w:rsid w:val="002C1591"/>
    <w:rsid w:val="002C1733"/>
    <w:rsid w:val="002C1BAE"/>
    <w:rsid w:val="002C1CCE"/>
    <w:rsid w:val="002C1F12"/>
    <w:rsid w:val="002C1FC2"/>
    <w:rsid w:val="002C22D6"/>
    <w:rsid w:val="002C24A0"/>
    <w:rsid w:val="002C2500"/>
    <w:rsid w:val="002C26AA"/>
    <w:rsid w:val="002C2A6F"/>
    <w:rsid w:val="002C2AB4"/>
    <w:rsid w:val="002C3625"/>
    <w:rsid w:val="002C3670"/>
    <w:rsid w:val="002C3D1E"/>
    <w:rsid w:val="002C3DDB"/>
    <w:rsid w:val="002C427A"/>
    <w:rsid w:val="002C44C4"/>
    <w:rsid w:val="002C479D"/>
    <w:rsid w:val="002C4C9C"/>
    <w:rsid w:val="002C4E2C"/>
    <w:rsid w:val="002C51A3"/>
    <w:rsid w:val="002C544A"/>
    <w:rsid w:val="002C56E2"/>
    <w:rsid w:val="002C5988"/>
    <w:rsid w:val="002C5A4A"/>
    <w:rsid w:val="002C5AA2"/>
    <w:rsid w:val="002C5CD8"/>
    <w:rsid w:val="002C615C"/>
    <w:rsid w:val="002C64BD"/>
    <w:rsid w:val="002C654E"/>
    <w:rsid w:val="002C68C5"/>
    <w:rsid w:val="002C6A0D"/>
    <w:rsid w:val="002C6AA9"/>
    <w:rsid w:val="002C6BEE"/>
    <w:rsid w:val="002C6C64"/>
    <w:rsid w:val="002C6DCA"/>
    <w:rsid w:val="002C709F"/>
    <w:rsid w:val="002C70BD"/>
    <w:rsid w:val="002C77D2"/>
    <w:rsid w:val="002C7BA2"/>
    <w:rsid w:val="002C7C59"/>
    <w:rsid w:val="002D011D"/>
    <w:rsid w:val="002D01F3"/>
    <w:rsid w:val="002D04E2"/>
    <w:rsid w:val="002D060D"/>
    <w:rsid w:val="002D081A"/>
    <w:rsid w:val="002D0958"/>
    <w:rsid w:val="002D0A64"/>
    <w:rsid w:val="002D0E68"/>
    <w:rsid w:val="002D1286"/>
    <w:rsid w:val="002D1371"/>
    <w:rsid w:val="002D15EC"/>
    <w:rsid w:val="002D1A44"/>
    <w:rsid w:val="002D1C95"/>
    <w:rsid w:val="002D1D32"/>
    <w:rsid w:val="002D21D7"/>
    <w:rsid w:val="002D21FE"/>
    <w:rsid w:val="002D2308"/>
    <w:rsid w:val="002D2543"/>
    <w:rsid w:val="002D271E"/>
    <w:rsid w:val="002D277C"/>
    <w:rsid w:val="002D27AF"/>
    <w:rsid w:val="002D2863"/>
    <w:rsid w:val="002D2908"/>
    <w:rsid w:val="002D2BFF"/>
    <w:rsid w:val="002D2E0B"/>
    <w:rsid w:val="002D2E7F"/>
    <w:rsid w:val="002D2F5F"/>
    <w:rsid w:val="002D2FC7"/>
    <w:rsid w:val="002D368E"/>
    <w:rsid w:val="002D36B7"/>
    <w:rsid w:val="002D36D6"/>
    <w:rsid w:val="002D379F"/>
    <w:rsid w:val="002D37CC"/>
    <w:rsid w:val="002D3912"/>
    <w:rsid w:val="002D3ADB"/>
    <w:rsid w:val="002D3CDE"/>
    <w:rsid w:val="002D3D59"/>
    <w:rsid w:val="002D3DFB"/>
    <w:rsid w:val="002D414D"/>
    <w:rsid w:val="002D423A"/>
    <w:rsid w:val="002D4259"/>
    <w:rsid w:val="002D435C"/>
    <w:rsid w:val="002D44EF"/>
    <w:rsid w:val="002D47E7"/>
    <w:rsid w:val="002D48D1"/>
    <w:rsid w:val="002D495D"/>
    <w:rsid w:val="002D4F08"/>
    <w:rsid w:val="002D530E"/>
    <w:rsid w:val="002D5612"/>
    <w:rsid w:val="002D569B"/>
    <w:rsid w:val="002D5810"/>
    <w:rsid w:val="002D5B07"/>
    <w:rsid w:val="002D5D0C"/>
    <w:rsid w:val="002D6230"/>
    <w:rsid w:val="002D64FE"/>
    <w:rsid w:val="002D6674"/>
    <w:rsid w:val="002D6DCA"/>
    <w:rsid w:val="002D6E5C"/>
    <w:rsid w:val="002D70D2"/>
    <w:rsid w:val="002D7323"/>
    <w:rsid w:val="002D771E"/>
    <w:rsid w:val="002D7852"/>
    <w:rsid w:val="002D796A"/>
    <w:rsid w:val="002D7B9E"/>
    <w:rsid w:val="002D7DAE"/>
    <w:rsid w:val="002D7E0A"/>
    <w:rsid w:val="002D7EC3"/>
    <w:rsid w:val="002D7F1D"/>
    <w:rsid w:val="002E040F"/>
    <w:rsid w:val="002E06A6"/>
    <w:rsid w:val="002E06A8"/>
    <w:rsid w:val="002E095D"/>
    <w:rsid w:val="002E0B77"/>
    <w:rsid w:val="002E0D2E"/>
    <w:rsid w:val="002E0E95"/>
    <w:rsid w:val="002E1746"/>
    <w:rsid w:val="002E179D"/>
    <w:rsid w:val="002E192C"/>
    <w:rsid w:val="002E1A89"/>
    <w:rsid w:val="002E1AEB"/>
    <w:rsid w:val="002E1B39"/>
    <w:rsid w:val="002E1DC7"/>
    <w:rsid w:val="002E2009"/>
    <w:rsid w:val="002E200D"/>
    <w:rsid w:val="002E2F2B"/>
    <w:rsid w:val="002E33F1"/>
    <w:rsid w:val="002E3420"/>
    <w:rsid w:val="002E342B"/>
    <w:rsid w:val="002E356D"/>
    <w:rsid w:val="002E3708"/>
    <w:rsid w:val="002E3854"/>
    <w:rsid w:val="002E3C87"/>
    <w:rsid w:val="002E3DB1"/>
    <w:rsid w:val="002E3DFD"/>
    <w:rsid w:val="002E4223"/>
    <w:rsid w:val="002E4301"/>
    <w:rsid w:val="002E43F6"/>
    <w:rsid w:val="002E459C"/>
    <w:rsid w:val="002E4F30"/>
    <w:rsid w:val="002E4F4A"/>
    <w:rsid w:val="002E519D"/>
    <w:rsid w:val="002E523F"/>
    <w:rsid w:val="002E537D"/>
    <w:rsid w:val="002E54B0"/>
    <w:rsid w:val="002E580E"/>
    <w:rsid w:val="002E5846"/>
    <w:rsid w:val="002E5AD3"/>
    <w:rsid w:val="002E5AF7"/>
    <w:rsid w:val="002E5B14"/>
    <w:rsid w:val="002E5BC1"/>
    <w:rsid w:val="002E5D30"/>
    <w:rsid w:val="002E5E68"/>
    <w:rsid w:val="002E642D"/>
    <w:rsid w:val="002E672A"/>
    <w:rsid w:val="002E6830"/>
    <w:rsid w:val="002E6DC2"/>
    <w:rsid w:val="002E6E05"/>
    <w:rsid w:val="002E7254"/>
    <w:rsid w:val="002E729A"/>
    <w:rsid w:val="002E75EC"/>
    <w:rsid w:val="002E7715"/>
    <w:rsid w:val="002E785A"/>
    <w:rsid w:val="002E7965"/>
    <w:rsid w:val="002E7B71"/>
    <w:rsid w:val="002E7BAE"/>
    <w:rsid w:val="002E7DD0"/>
    <w:rsid w:val="002E7FBA"/>
    <w:rsid w:val="002F0050"/>
    <w:rsid w:val="002F011B"/>
    <w:rsid w:val="002F02E2"/>
    <w:rsid w:val="002F04D3"/>
    <w:rsid w:val="002F07FB"/>
    <w:rsid w:val="002F08D2"/>
    <w:rsid w:val="002F10BA"/>
    <w:rsid w:val="002F1477"/>
    <w:rsid w:val="002F1498"/>
    <w:rsid w:val="002F17A0"/>
    <w:rsid w:val="002F1BCD"/>
    <w:rsid w:val="002F1D7E"/>
    <w:rsid w:val="002F1F5D"/>
    <w:rsid w:val="002F2518"/>
    <w:rsid w:val="002F25C7"/>
    <w:rsid w:val="002F25D1"/>
    <w:rsid w:val="002F2C04"/>
    <w:rsid w:val="002F2FA9"/>
    <w:rsid w:val="002F3100"/>
    <w:rsid w:val="002F3280"/>
    <w:rsid w:val="002F3373"/>
    <w:rsid w:val="002F3392"/>
    <w:rsid w:val="002F3613"/>
    <w:rsid w:val="002F3AA5"/>
    <w:rsid w:val="002F3B06"/>
    <w:rsid w:val="002F3C4B"/>
    <w:rsid w:val="002F3E73"/>
    <w:rsid w:val="002F40E6"/>
    <w:rsid w:val="002F42DC"/>
    <w:rsid w:val="002F4532"/>
    <w:rsid w:val="002F458B"/>
    <w:rsid w:val="002F4E04"/>
    <w:rsid w:val="002F544E"/>
    <w:rsid w:val="002F5660"/>
    <w:rsid w:val="002F5669"/>
    <w:rsid w:val="002F56AA"/>
    <w:rsid w:val="002F5B46"/>
    <w:rsid w:val="002F6021"/>
    <w:rsid w:val="002F609F"/>
    <w:rsid w:val="002F63F3"/>
    <w:rsid w:val="002F653F"/>
    <w:rsid w:val="002F6731"/>
    <w:rsid w:val="002F68DB"/>
    <w:rsid w:val="002F68E9"/>
    <w:rsid w:val="002F6D45"/>
    <w:rsid w:val="002F7065"/>
    <w:rsid w:val="002F7239"/>
    <w:rsid w:val="002F7434"/>
    <w:rsid w:val="002F7575"/>
    <w:rsid w:val="002F7763"/>
    <w:rsid w:val="002F7B70"/>
    <w:rsid w:val="002F7F02"/>
    <w:rsid w:val="002F7F87"/>
    <w:rsid w:val="00300032"/>
    <w:rsid w:val="003002F2"/>
    <w:rsid w:val="0030062D"/>
    <w:rsid w:val="0030078A"/>
    <w:rsid w:val="00300825"/>
    <w:rsid w:val="00300AC4"/>
    <w:rsid w:val="0030117E"/>
    <w:rsid w:val="00301360"/>
    <w:rsid w:val="0030143E"/>
    <w:rsid w:val="0030147E"/>
    <w:rsid w:val="0030149C"/>
    <w:rsid w:val="00301729"/>
    <w:rsid w:val="0030174F"/>
    <w:rsid w:val="003019CF"/>
    <w:rsid w:val="00301A9E"/>
    <w:rsid w:val="00302A26"/>
    <w:rsid w:val="00302AC5"/>
    <w:rsid w:val="00302B48"/>
    <w:rsid w:val="00302E4B"/>
    <w:rsid w:val="00302F7B"/>
    <w:rsid w:val="0030315A"/>
    <w:rsid w:val="003031C7"/>
    <w:rsid w:val="003033AE"/>
    <w:rsid w:val="00303487"/>
    <w:rsid w:val="00303627"/>
    <w:rsid w:val="0030369F"/>
    <w:rsid w:val="003036BE"/>
    <w:rsid w:val="00303971"/>
    <w:rsid w:val="00303A4B"/>
    <w:rsid w:val="00303DE5"/>
    <w:rsid w:val="0030420C"/>
    <w:rsid w:val="00304231"/>
    <w:rsid w:val="003043AB"/>
    <w:rsid w:val="003044A5"/>
    <w:rsid w:val="00304546"/>
    <w:rsid w:val="00304AEC"/>
    <w:rsid w:val="00304C90"/>
    <w:rsid w:val="0030536D"/>
    <w:rsid w:val="003057E5"/>
    <w:rsid w:val="00305D1D"/>
    <w:rsid w:val="003062CB"/>
    <w:rsid w:val="00306375"/>
    <w:rsid w:val="003066CD"/>
    <w:rsid w:val="00306A38"/>
    <w:rsid w:val="00307182"/>
    <w:rsid w:val="003074D2"/>
    <w:rsid w:val="00307647"/>
    <w:rsid w:val="003102D0"/>
    <w:rsid w:val="00310423"/>
    <w:rsid w:val="00310664"/>
    <w:rsid w:val="00310A8B"/>
    <w:rsid w:val="00310A92"/>
    <w:rsid w:val="00310C5B"/>
    <w:rsid w:val="00310C8D"/>
    <w:rsid w:val="00310E55"/>
    <w:rsid w:val="00310EA4"/>
    <w:rsid w:val="00311291"/>
    <w:rsid w:val="0031136A"/>
    <w:rsid w:val="00311891"/>
    <w:rsid w:val="00311F3E"/>
    <w:rsid w:val="003122C2"/>
    <w:rsid w:val="003123AB"/>
    <w:rsid w:val="003126A7"/>
    <w:rsid w:val="0031293F"/>
    <w:rsid w:val="00312AB2"/>
    <w:rsid w:val="00312ADE"/>
    <w:rsid w:val="00312CDC"/>
    <w:rsid w:val="00312CE1"/>
    <w:rsid w:val="00312ECE"/>
    <w:rsid w:val="00312FBC"/>
    <w:rsid w:val="003130E1"/>
    <w:rsid w:val="00313180"/>
    <w:rsid w:val="00313227"/>
    <w:rsid w:val="003132DB"/>
    <w:rsid w:val="003135E6"/>
    <w:rsid w:val="003138CB"/>
    <w:rsid w:val="00313B95"/>
    <w:rsid w:val="00313D01"/>
    <w:rsid w:val="00314127"/>
    <w:rsid w:val="003144DA"/>
    <w:rsid w:val="0031462A"/>
    <w:rsid w:val="00314CF3"/>
    <w:rsid w:val="00314E98"/>
    <w:rsid w:val="00314EC0"/>
    <w:rsid w:val="003150D7"/>
    <w:rsid w:val="00315135"/>
    <w:rsid w:val="00315389"/>
    <w:rsid w:val="00315425"/>
    <w:rsid w:val="00315622"/>
    <w:rsid w:val="003156EF"/>
    <w:rsid w:val="00315895"/>
    <w:rsid w:val="003158CE"/>
    <w:rsid w:val="00315A14"/>
    <w:rsid w:val="00315B94"/>
    <w:rsid w:val="00315CA6"/>
    <w:rsid w:val="00315F5E"/>
    <w:rsid w:val="00315F89"/>
    <w:rsid w:val="003168EC"/>
    <w:rsid w:val="00316A48"/>
    <w:rsid w:val="00316DCD"/>
    <w:rsid w:val="00316FC2"/>
    <w:rsid w:val="0031704B"/>
    <w:rsid w:val="00317DC3"/>
    <w:rsid w:val="00317F22"/>
    <w:rsid w:val="003203B6"/>
    <w:rsid w:val="00320930"/>
    <w:rsid w:val="00320975"/>
    <w:rsid w:val="003209D6"/>
    <w:rsid w:val="00320B4E"/>
    <w:rsid w:val="00320F40"/>
    <w:rsid w:val="0032112A"/>
    <w:rsid w:val="00321BC4"/>
    <w:rsid w:val="00321C51"/>
    <w:rsid w:val="00321DAD"/>
    <w:rsid w:val="0032227B"/>
    <w:rsid w:val="0032248E"/>
    <w:rsid w:val="0032254D"/>
    <w:rsid w:val="003229AA"/>
    <w:rsid w:val="00322B44"/>
    <w:rsid w:val="00322D07"/>
    <w:rsid w:val="00322FCF"/>
    <w:rsid w:val="0032314C"/>
    <w:rsid w:val="0032385F"/>
    <w:rsid w:val="0032388D"/>
    <w:rsid w:val="00323DD3"/>
    <w:rsid w:val="003244D8"/>
    <w:rsid w:val="003246D9"/>
    <w:rsid w:val="00324B16"/>
    <w:rsid w:val="0032548C"/>
    <w:rsid w:val="0032586B"/>
    <w:rsid w:val="003258E6"/>
    <w:rsid w:val="00325A7E"/>
    <w:rsid w:val="00325B34"/>
    <w:rsid w:val="00326280"/>
    <w:rsid w:val="00326404"/>
    <w:rsid w:val="0032660D"/>
    <w:rsid w:val="00326976"/>
    <w:rsid w:val="00326A66"/>
    <w:rsid w:val="00326AC6"/>
    <w:rsid w:val="00326B55"/>
    <w:rsid w:val="00326BE1"/>
    <w:rsid w:val="00326C7F"/>
    <w:rsid w:val="00326F26"/>
    <w:rsid w:val="00327365"/>
    <w:rsid w:val="0032738D"/>
    <w:rsid w:val="0032759E"/>
    <w:rsid w:val="003278EE"/>
    <w:rsid w:val="00327A06"/>
    <w:rsid w:val="00327C08"/>
    <w:rsid w:val="00330272"/>
    <w:rsid w:val="0033031C"/>
    <w:rsid w:val="00330360"/>
    <w:rsid w:val="003308CF"/>
    <w:rsid w:val="00330BF0"/>
    <w:rsid w:val="00330D6C"/>
    <w:rsid w:val="00330D72"/>
    <w:rsid w:val="00331080"/>
    <w:rsid w:val="00331100"/>
    <w:rsid w:val="003312FF"/>
    <w:rsid w:val="003317E6"/>
    <w:rsid w:val="003319AC"/>
    <w:rsid w:val="00331C2A"/>
    <w:rsid w:val="0033223E"/>
    <w:rsid w:val="0033225B"/>
    <w:rsid w:val="003324FB"/>
    <w:rsid w:val="00332677"/>
    <w:rsid w:val="003326E5"/>
    <w:rsid w:val="00332844"/>
    <w:rsid w:val="0033288E"/>
    <w:rsid w:val="00332B44"/>
    <w:rsid w:val="00332CB2"/>
    <w:rsid w:val="00332E1C"/>
    <w:rsid w:val="00332E52"/>
    <w:rsid w:val="00332EE7"/>
    <w:rsid w:val="00333057"/>
    <w:rsid w:val="00333133"/>
    <w:rsid w:val="00333285"/>
    <w:rsid w:val="0033331D"/>
    <w:rsid w:val="003336CA"/>
    <w:rsid w:val="003339F9"/>
    <w:rsid w:val="00333B47"/>
    <w:rsid w:val="00333F61"/>
    <w:rsid w:val="003340B7"/>
    <w:rsid w:val="003341AE"/>
    <w:rsid w:val="003342AB"/>
    <w:rsid w:val="00334588"/>
    <w:rsid w:val="00334662"/>
    <w:rsid w:val="00334A9C"/>
    <w:rsid w:val="00334E88"/>
    <w:rsid w:val="00335038"/>
    <w:rsid w:val="003351AD"/>
    <w:rsid w:val="00335546"/>
    <w:rsid w:val="003358AE"/>
    <w:rsid w:val="003359C8"/>
    <w:rsid w:val="003359F9"/>
    <w:rsid w:val="00335C34"/>
    <w:rsid w:val="0033614D"/>
    <w:rsid w:val="003361B7"/>
    <w:rsid w:val="0033639E"/>
    <w:rsid w:val="003363B8"/>
    <w:rsid w:val="0033691E"/>
    <w:rsid w:val="00336A6B"/>
    <w:rsid w:val="00336AC2"/>
    <w:rsid w:val="00336B26"/>
    <w:rsid w:val="00336BDE"/>
    <w:rsid w:val="00336FFE"/>
    <w:rsid w:val="00337544"/>
    <w:rsid w:val="00337582"/>
    <w:rsid w:val="00337834"/>
    <w:rsid w:val="0033790B"/>
    <w:rsid w:val="00337ECF"/>
    <w:rsid w:val="003400D8"/>
    <w:rsid w:val="0034017E"/>
    <w:rsid w:val="00340220"/>
    <w:rsid w:val="00340414"/>
    <w:rsid w:val="0034046A"/>
    <w:rsid w:val="0034050E"/>
    <w:rsid w:val="00340B04"/>
    <w:rsid w:val="00340F89"/>
    <w:rsid w:val="00341243"/>
    <w:rsid w:val="00341765"/>
    <w:rsid w:val="00341794"/>
    <w:rsid w:val="0034195A"/>
    <w:rsid w:val="00341995"/>
    <w:rsid w:val="00341E97"/>
    <w:rsid w:val="00341F08"/>
    <w:rsid w:val="00341F41"/>
    <w:rsid w:val="00341FE3"/>
    <w:rsid w:val="00342122"/>
    <w:rsid w:val="0034254C"/>
    <w:rsid w:val="0034264C"/>
    <w:rsid w:val="003427B0"/>
    <w:rsid w:val="00342C90"/>
    <w:rsid w:val="00342E34"/>
    <w:rsid w:val="00342EEA"/>
    <w:rsid w:val="003431E5"/>
    <w:rsid w:val="00343264"/>
    <w:rsid w:val="00343469"/>
    <w:rsid w:val="003435CE"/>
    <w:rsid w:val="003435EE"/>
    <w:rsid w:val="003436A2"/>
    <w:rsid w:val="003438E6"/>
    <w:rsid w:val="00343ACA"/>
    <w:rsid w:val="003440D8"/>
    <w:rsid w:val="003443AD"/>
    <w:rsid w:val="0034472E"/>
    <w:rsid w:val="0034491C"/>
    <w:rsid w:val="00344CC6"/>
    <w:rsid w:val="00344E1E"/>
    <w:rsid w:val="00344E85"/>
    <w:rsid w:val="00344F55"/>
    <w:rsid w:val="00344FCB"/>
    <w:rsid w:val="00345602"/>
    <w:rsid w:val="00345633"/>
    <w:rsid w:val="0034563C"/>
    <w:rsid w:val="00345A98"/>
    <w:rsid w:val="00345CA8"/>
    <w:rsid w:val="00345E61"/>
    <w:rsid w:val="003463C7"/>
    <w:rsid w:val="003464D2"/>
    <w:rsid w:val="0034650A"/>
    <w:rsid w:val="003469DF"/>
    <w:rsid w:val="00346D9E"/>
    <w:rsid w:val="00346EB0"/>
    <w:rsid w:val="00346FFE"/>
    <w:rsid w:val="00347511"/>
    <w:rsid w:val="00347AE8"/>
    <w:rsid w:val="00347B6D"/>
    <w:rsid w:val="00347BD6"/>
    <w:rsid w:val="00347DFB"/>
    <w:rsid w:val="003500FF"/>
    <w:rsid w:val="0035028E"/>
    <w:rsid w:val="0035095F"/>
    <w:rsid w:val="00350B40"/>
    <w:rsid w:val="00350D39"/>
    <w:rsid w:val="00351046"/>
    <w:rsid w:val="003510B3"/>
    <w:rsid w:val="003510FB"/>
    <w:rsid w:val="003513C7"/>
    <w:rsid w:val="0035193A"/>
    <w:rsid w:val="0035194B"/>
    <w:rsid w:val="00351A8B"/>
    <w:rsid w:val="00351C83"/>
    <w:rsid w:val="00351D48"/>
    <w:rsid w:val="00351EAE"/>
    <w:rsid w:val="0035239F"/>
    <w:rsid w:val="003526AB"/>
    <w:rsid w:val="003527A8"/>
    <w:rsid w:val="00352C08"/>
    <w:rsid w:val="0035302D"/>
    <w:rsid w:val="003531DB"/>
    <w:rsid w:val="003533AB"/>
    <w:rsid w:val="0035366D"/>
    <w:rsid w:val="0035374B"/>
    <w:rsid w:val="0035399F"/>
    <w:rsid w:val="00353CE1"/>
    <w:rsid w:val="00353D57"/>
    <w:rsid w:val="0035423E"/>
    <w:rsid w:val="003542A1"/>
    <w:rsid w:val="003542CC"/>
    <w:rsid w:val="00354AA3"/>
    <w:rsid w:val="00354C57"/>
    <w:rsid w:val="00354C59"/>
    <w:rsid w:val="0035517E"/>
    <w:rsid w:val="00355526"/>
    <w:rsid w:val="003556EA"/>
    <w:rsid w:val="0035582E"/>
    <w:rsid w:val="00355879"/>
    <w:rsid w:val="00355909"/>
    <w:rsid w:val="00355A77"/>
    <w:rsid w:val="00355B94"/>
    <w:rsid w:val="00355F34"/>
    <w:rsid w:val="00355FFF"/>
    <w:rsid w:val="00356154"/>
    <w:rsid w:val="003561DA"/>
    <w:rsid w:val="003564B2"/>
    <w:rsid w:val="003564FA"/>
    <w:rsid w:val="00356596"/>
    <w:rsid w:val="003566F1"/>
    <w:rsid w:val="00356D6F"/>
    <w:rsid w:val="00356DF7"/>
    <w:rsid w:val="00356E2C"/>
    <w:rsid w:val="00356FA2"/>
    <w:rsid w:val="00357293"/>
    <w:rsid w:val="0035766C"/>
    <w:rsid w:val="00357812"/>
    <w:rsid w:val="0035790C"/>
    <w:rsid w:val="00357BE7"/>
    <w:rsid w:val="00357DDB"/>
    <w:rsid w:val="00357EDD"/>
    <w:rsid w:val="00360340"/>
    <w:rsid w:val="00360692"/>
    <w:rsid w:val="00360A46"/>
    <w:rsid w:val="00360B8E"/>
    <w:rsid w:val="0036113A"/>
    <w:rsid w:val="0036159A"/>
    <w:rsid w:val="00361D42"/>
    <w:rsid w:val="00362062"/>
    <w:rsid w:val="003620EC"/>
    <w:rsid w:val="00362112"/>
    <w:rsid w:val="00362191"/>
    <w:rsid w:val="00362226"/>
    <w:rsid w:val="0036248B"/>
    <w:rsid w:val="00362564"/>
    <w:rsid w:val="003627DC"/>
    <w:rsid w:val="00362814"/>
    <w:rsid w:val="00362B7A"/>
    <w:rsid w:val="00362B80"/>
    <w:rsid w:val="00362C0E"/>
    <w:rsid w:val="00362EF5"/>
    <w:rsid w:val="00363091"/>
    <w:rsid w:val="0036344B"/>
    <w:rsid w:val="00363522"/>
    <w:rsid w:val="00363871"/>
    <w:rsid w:val="00363AB2"/>
    <w:rsid w:val="00363B28"/>
    <w:rsid w:val="00363EB9"/>
    <w:rsid w:val="0036422F"/>
    <w:rsid w:val="0036424F"/>
    <w:rsid w:val="00364429"/>
    <w:rsid w:val="00364BFB"/>
    <w:rsid w:val="003654A3"/>
    <w:rsid w:val="003655AB"/>
    <w:rsid w:val="003659E9"/>
    <w:rsid w:val="00365A76"/>
    <w:rsid w:val="00365AEE"/>
    <w:rsid w:val="00365B7D"/>
    <w:rsid w:val="00365C2B"/>
    <w:rsid w:val="00365E43"/>
    <w:rsid w:val="003663D1"/>
    <w:rsid w:val="0036640D"/>
    <w:rsid w:val="0036651D"/>
    <w:rsid w:val="003665C5"/>
    <w:rsid w:val="003666B9"/>
    <w:rsid w:val="00366916"/>
    <w:rsid w:val="00366EF5"/>
    <w:rsid w:val="00367015"/>
    <w:rsid w:val="003671AD"/>
    <w:rsid w:val="003671E1"/>
    <w:rsid w:val="0036788B"/>
    <w:rsid w:val="00367D81"/>
    <w:rsid w:val="00367FC6"/>
    <w:rsid w:val="003701D0"/>
    <w:rsid w:val="003705C4"/>
    <w:rsid w:val="003707DD"/>
    <w:rsid w:val="003707F9"/>
    <w:rsid w:val="00370A04"/>
    <w:rsid w:val="00370C52"/>
    <w:rsid w:val="0037115E"/>
    <w:rsid w:val="003711C6"/>
    <w:rsid w:val="003711EA"/>
    <w:rsid w:val="00371207"/>
    <w:rsid w:val="00371349"/>
    <w:rsid w:val="00371351"/>
    <w:rsid w:val="00371589"/>
    <w:rsid w:val="00371C06"/>
    <w:rsid w:val="00371CAE"/>
    <w:rsid w:val="00372938"/>
    <w:rsid w:val="00372A33"/>
    <w:rsid w:val="00372B5F"/>
    <w:rsid w:val="00372B9B"/>
    <w:rsid w:val="00372BCE"/>
    <w:rsid w:val="00372ED8"/>
    <w:rsid w:val="00373686"/>
    <w:rsid w:val="003739D9"/>
    <w:rsid w:val="00373CA7"/>
    <w:rsid w:val="00373E1D"/>
    <w:rsid w:val="00373F68"/>
    <w:rsid w:val="0037431B"/>
    <w:rsid w:val="00374566"/>
    <w:rsid w:val="003745A7"/>
    <w:rsid w:val="003745B7"/>
    <w:rsid w:val="00374B55"/>
    <w:rsid w:val="00375037"/>
    <w:rsid w:val="00375270"/>
    <w:rsid w:val="0037540F"/>
    <w:rsid w:val="0037594E"/>
    <w:rsid w:val="00375B51"/>
    <w:rsid w:val="00376064"/>
    <w:rsid w:val="0037621D"/>
    <w:rsid w:val="00376355"/>
    <w:rsid w:val="003764FA"/>
    <w:rsid w:val="0037674B"/>
    <w:rsid w:val="00376911"/>
    <w:rsid w:val="00376B80"/>
    <w:rsid w:val="003773D9"/>
    <w:rsid w:val="003775A3"/>
    <w:rsid w:val="0037776D"/>
    <w:rsid w:val="003777F7"/>
    <w:rsid w:val="003778CD"/>
    <w:rsid w:val="00377B91"/>
    <w:rsid w:val="00377C78"/>
    <w:rsid w:val="00377D73"/>
    <w:rsid w:val="00377DA2"/>
    <w:rsid w:val="00380155"/>
    <w:rsid w:val="003801E7"/>
    <w:rsid w:val="00380240"/>
    <w:rsid w:val="003804C0"/>
    <w:rsid w:val="0038050B"/>
    <w:rsid w:val="00380588"/>
    <w:rsid w:val="0038082A"/>
    <w:rsid w:val="00380B8E"/>
    <w:rsid w:val="00380D27"/>
    <w:rsid w:val="00380F69"/>
    <w:rsid w:val="00380FF1"/>
    <w:rsid w:val="0038104A"/>
    <w:rsid w:val="003813E7"/>
    <w:rsid w:val="0038173F"/>
    <w:rsid w:val="00381847"/>
    <w:rsid w:val="00381AD6"/>
    <w:rsid w:val="00381B21"/>
    <w:rsid w:val="00381B24"/>
    <w:rsid w:val="00381FE2"/>
    <w:rsid w:val="003820A0"/>
    <w:rsid w:val="0038214C"/>
    <w:rsid w:val="0038215E"/>
    <w:rsid w:val="003823AD"/>
    <w:rsid w:val="00382659"/>
    <w:rsid w:val="00382769"/>
    <w:rsid w:val="0038295D"/>
    <w:rsid w:val="00382965"/>
    <w:rsid w:val="00382A6A"/>
    <w:rsid w:val="00382A9A"/>
    <w:rsid w:val="00382BC3"/>
    <w:rsid w:val="00382BD6"/>
    <w:rsid w:val="00383218"/>
    <w:rsid w:val="00383242"/>
    <w:rsid w:val="0038332B"/>
    <w:rsid w:val="0038389C"/>
    <w:rsid w:val="00383B7F"/>
    <w:rsid w:val="00383BD1"/>
    <w:rsid w:val="00383FC7"/>
    <w:rsid w:val="0038413B"/>
    <w:rsid w:val="00384189"/>
    <w:rsid w:val="003842CC"/>
    <w:rsid w:val="0038430B"/>
    <w:rsid w:val="0038437F"/>
    <w:rsid w:val="003846E8"/>
    <w:rsid w:val="00384AF2"/>
    <w:rsid w:val="00384BD7"/>
    <w:rsid w:val="00384CCD"/>
    <w:rsid w:val="00384E0C"/>
    <w:rsid w:val="00384F68"/>
    <w:rsid w:val="00385032"/>
    <w:rsid w:val="003854B7"/>
    <w:rsid w:val="003856A4"/>
    <w:rsid w:val="00385F62"/>
    <w:rsid w:val="003860B0"/>
    <w:rsid w:val="0038629F"/>
    <w:rsid w:val="0038664C"/>
    <w:rsid w:val="00386C8F"/>
    <w:rsid w:val="00386DCD"/>
    <w:rsid w:val="003873E7"/>
    <w:rsid w:val="0038767D"/>
    <w:rsid w:val="003878C7"/>
    <w:rsid w:val="00387B17"/>
    <w:rsid w:val="00387B5D"/>
    <w:rsid w:val="00387F44"/>
    <w:rsid w:val="00390134"/>
    <w:rsid w:val="00390489"/>
    <w:rsid w:val="0039048D"/>
    <w:rsid w:val="0039059B"/>
    <w:rsid w:val="00390B05"/>
    <w:rsid w:val="00390D61"/>
    <w:rsid w:val="003910F1"/>
    <w:rsid w:val="0039110E"/>
    <w:rsid w:val="0039137A"/>
    <w:rsid w:val="0039162B"/>
    <w:rsid w:val="00391C30"/>
    <w:rsid w:val="00391CBF"/>
    <w:rsid w:val="00392126"/>
    <w:rsid w:val="003922BC"/>
    <w:rsid w:val="00392318"/>
    <w:rsid w:val="003923C8"/>
    <w:rsid w:val="0039258E"/>
    <w:rsid w:val="0039279B"/>
    <w:rsid w:val="00392A21"/>
    <w:rsid w:val="00392A9B"/>
    <w:rsid w:val="00392CF9"/>
    <w:rsid w:val="00392FF4"/>
    <w:rsid w:val="00393260"/>
    <w:rsid w:val="0039348C"/>
    <w:rsid w:val="003935D7"/>
    <w:rsid w:val="00393649"/>
    <w:rsid w:val="00393938"/>
    <w:rsid w:val="00393EB3"/>
    <w:rsid w:val="00394310"/>
    <w:rsid w:val="00394527"/>
    <w:rsid w:val="00394739"/>
    <w:rsid w:val="00394824"/>
    <w:rsid w:val="00394D0C"/>
    <w:rsid w:val="00394D0E"/>
    <w:rsid w:val="00394D22"/>
    <w:rsid w:val="003952DA"/>
    <w:rsid w:val="0039535A"/>
    <w:rsid w:val="00395491"/>
    <w:rsid w:val="00395579"/>
    <w:rsid w:val="00395880"/>
    <w:rsid w:val="00395903"/>
    <w:rsid w:val="00395920"/>
    <w:rsid w:val="00395D62"/>
    <w:rsid w:val="00395E99"/>
    <w:rsid w:val="00395F9E"/>
    <w:rsid w:val="003963DF"/>
    <w:rsid w:val="00396452"/>
    <w:rsid w:val="00396514"/>
    <w:rsid w:val="00396AF0"/>
    <w:rsid w:val="00396B51"/>
    <w:rsid w:val="00396F04"/>
    <w:rsid w:val="003970C7"/>
    <w:rsid w:val="00397A80"/>
    <w:rsid w:val="00397C72"/>
    <w:rsid w:val="00397DF1"/>
    <w:rsid w:val="00397EE8"/>
    <w:rsid w:val="00397EF2"/>
    <w:rsid w:val="003A048E"/>
    <w:rsid w:val="003A04FD"/>
    <w:rsid w:val="003A0716"/>
    <w:rsid w:val="003A0799"/>
    <w:rsid w:val="003A0859"/>
    <w:rsid w:val="003A09A0"/>
    <w:rsid w:val="003A0A38"/>
    <w:rsid w:val="003A0B57"/>
    <w:rsid w:val="003A0D77"/>
    <w:rsid w:val="003A0EC1"/>
    <w:rsid w:val="003A0F2C"/>
    <w:rsid w:val="003A113F"/>
    <w:rsid w:val="003A146C"/>
    <w:rsid w:val="003A14C6"/>
    <w:rsid w:val="003A14E1"/>
    <w:rsid w:val="003A1659"/>
    <w:rsid w:val="003A177F"/>
    <w:rsid w:val="003A1AC0"/>
    <w:rsid w:val="003A1B92"/>
    <w:rsid w:val="003A1CCA"/>
    <w:rsid w:val="003A1D42"/>
    <w:rsid w:val="003A2651"/>
    <w:rsid w:val="003A2888"/>
    <w:rsid w:val="003A2999"/>
    <w:rsid w:val="003A2C74"/>
    <w:rsid w:val="003A2D7D"/>
    <w:rsid w:val="003A313D"/>
    <w:rsid w:val="003A39B8"/>
    <w:rsid w:val="003A3EEE"/>
    <w:rsid w:val="003A3FD8"/>
    <w:rsid w:val="003A3FE1"/>
    <w:rsid w:val="003A404A"/>
    <w:rsid w:val="003A4064"/>
    <w:rsid w:val="003A4174"/>
    <w:rsid w:val="003A422F"/>
    <w:rsid w:val="003A4270"/>
    <w:rsid w:val="003A448E"/>
    <w:rsid w:val="003A4755"/>
    <w:rsid w:val="003A49F8"/>
    <w:rsid w:val="003A4A52"/>
    <w:rsid w:val="003A4C94"/>
    <w:rsid w:val="003A4D2E"/>
    <w:rsid w:val="003A5520"/>
    <w:rsid w:val="003A584F"/>
    <w:rsid w:val="003A5B93"/>
    <w:rsid w:val="003A5C13"/>
    <w:rsid w:val="003A625D"/>
    <w:rsid w:val="003A62AA"/>
    <w:rsid w:val="003A62D6"/>
    <w:rsid w:val="003A660F"/>
    <w:rsid w:val="003A682F"/>
    <w:rsid w:val="003A69B6"/>
    <w:rsid w:val="003A6BEE"/>
    <w:rsid w:val="003A6DEB"/>
    <w:rsid w:val="003A6FCB"/>
    <w:rsid w:val="003A7154"/>
    <w:rsid w:val="003A71AF"/>
    <w:rsid w:val="003A748E"/>
    <w:rsid w:val="003A77BC"/>
    <w:rsid w:val="003A793A"/>
    <w:rsid w:val="003A7B8E"/>
    <w:rsid w:val="003A7C9E"/>
    <w:rsid w:val="003A7F7A"/>
    <w:rsid w:val="003A7FFB"/>
    <w:rsid w:val="003B074E"/>
    <w:rsid w:val="003B08EF"/>
    <w:rsid w:val="003B09C1"/>
    <w:rsid w:val="003B09F8"/>
    <w:rsid w:val="003B0AB3"/>
    <w:rsid w:val="003B0CB6"/>
    <w:rsid w:val="003B0CFB"/>
    <w:rsid w:val="003B11CD"/>
    <w:rsid w:val="003B11D2"/>
    <w:rsid w:val="003B137A"/>
    <w:rsid w:val="003B14CC"/>
    <w:rsid w:val="003B159D"/>
    <w:rsid w:val="003B195E"/>
    <w:rsid w:val="003B1E5D"/>
    <w:rsid w:val="003B2241"/>
    <w:rsid w:val="003B250C"/>
    <w:rsid w:val="003B2548"/>
    <w:rsid w:val="003B286A"/>
    <w:rsid w:val="003B2AB1"/>
    <w:rsid w:val="003B2B56"/>
    <w:rsid w:val="003B2CDD"/>
    <w:rsid w:val="003B2E07"/>
    <w:rsid w:val="003B2E44"/>
    <w:rsid w:val="003B331F"/>
    <w:rsid w:val="003B34F9"/>
    <w:rsid w:val="003B3516"/>
    <w:rsid w:val="003B397A"/>
    <w:rsid w:val="003B3AF2"/>
    <w:rsid w:val="003B3D4E"/>
    <w:rsid w:val="003B4041"/>
    <w:rsid w:val="003B41DE"/>
    <w:rsid w:val="003B42D3"/>
    <w:rsid w:val="003B4309"/>
    <w:rsid w:val="003B453D"/>
    <w:rsid w:val="003B481F"/>
    <w:rsid w:val="003B4C00"/>
    <w:rsid w:val="003B4F2C"/>
    <w:rsid w:val="003B5120"/>
    <w:rsid w:val="003B52C4"/>
    <w:rsid w:val="003B595C"/>
    <w:rsid w:val="003B5BFE"/>
    <w:rsid w:val="003B5DEE"/>
    <w:rsid w:val="003B5EDE"/>
    <w:rsid w:val="003B608B"/>
    <w:rsid w:val="003B61E1"/>
    <w:rsid w:val="003B62F6"/>
    <w:rsid w:val="003B6407"/>
    <w:rsid w:val="003B67B0"/>
    <w:rsid w:val="003B68A6"/>
    <w:rsid w:val="003B707A"/>
    <w:rsid w:val="003B754C"/>
    <w:rsid w:val="003B756C"/>
    <w:rsid w:val="003B75D4"/>
    <w:rsid w:val="003B77BE"/>
    <w:rsid w:val="003B792C"/>
    <w:rsid w:val="003B7B1B"/>
    <w:rsid w:val="003C04ED"/>
    <w:rsid w:val="003C0769"/>
    <w:rsid w:val="003C091A"/>
    <w:rsid w:val="003C0A70"/>
    <w:rsid w:val="003C0AD5"/>
    <w:rsid w:val="003C0CDA"/>
    <w:rsid w:val="003C0CFF"/>
    <w:rsid w:val="003C0D61"/>
    <w:rsid w:val="003C10DE"/>
    <w:rsid w:val="003C12BC"/>
    <w:rsid w:val="003C1864"/>
    <w:rsid w:val="003C18DA"/>
    <w:rsid w:val="003C19C2"/>
    <w:rsid w:val="003C19DF"/>
    <w:rsid w:val="003C1AE4"/>
    <w:rsid w:val="003C1B1E"/>
    <w:rsid w:val="003C1CD3"/>
    <w:rsid w:val="003C1F1B"/>
    <w:rsid w:val="003C2279"/>
    <w:rsid w:val="003C22EC"/>
    <w:rsid w:val="003C2CB2"/>
    <w:rsid w:val="003C2D4C"/>
    <w:rsid w:val="003C2DBA"/>
    <w:rsid w:val="003C3052"/>
    <w:rsid w:val="003C3118"/>
    <w:rsid w:val="003C31EE"/>
    <w:rsid w:val="003C3224"/>
    <w:rsid w:val="003C3259"/>
    <w:rsid w:val="003C334C"/>
    <w:rsid w:val="003C3350"/>
    <w:rsid w:val="003C357E"/>
    <w:rsid w:val="003C3701"/>
    <w:rsid w:val="003C373E"/>
    <w:rsid w:val="003C39C8"/>
    <w:rsid w:val="003C3A3E"/>
    <w:rsid w:val="003C3ACA"/>
    <w:rsid w:val="003C3BE6"/>
    <w:rsid w:val="003C3C39"/>
    <w:rsid w:val="003C3F6D"/>
    <w:rsid w:val="003C3FD5"/>
    <w:rsid w:val="003C3FDD"/>
    <w:rsid w:val="003C410F"/>
    <w:rsid w:val="003C42A6"/>
    <w:rsid w:val="003C44B9"/>
    <w:rsid w:val="003C44CE"/>
    <w:rsid w:val="003C4522"/>
    <w:rsid w:val="003C453D"/>
    <w:rsid w:val="003C4588"/>
    <w:rsid w:val="003C45EA"/>
    <w:rsid w:val="003C4BFD"/>
    <w:rsid w:val="003C4C79"/>
    <w:rsid w:val="003C4DA1"/>
    <w:rsid w:val="003C4FA6"/>
    <w:rsid w:val="003C5078"/>
    <w:rsid w:val="003C50B3"/>
    <w:rsid w:val="003C539D"/>
    <w:rsid w:val="003C5432"/>
    <w:rsid w:val="003C5918"/>
    <w:rsid w:val="003C5B66"/>
    <w:rsid w:val="003C5CA2"/>
    <w:rsid w:val="003C5EFD"/>
    <w:rsid w:val="003C60F2"/>
    <w:rsid w:val="003C624B"/>
    <w:rsid w:val="003C663D"/>
    <w:rsid w:val="003C6711"/>
    <w:rsid w:val="003C6734"/>
    <w:rsid w:val="003C67B1"/>
    <w:rsid w:val="003C68F2"/>
    <w:rsid w:val="003C6A1B"/>
    <w:rsid w:val="003C6ABA"/>
    <w:rsid w:val="003C6AE3"/>
    <w:rsid w:val="003C6B45"/>
    <w:rsid w:val="003C6D27"/>
    <w:rsid w:val="003C6D5E"/>
    <w:rsid w:val="003C7097"/>
    <w:rsid w:val="003C7151"/>
    <w:rsid w:val="003C742C"/>
    <w:rsid w:val="003C78A6"/>
    <w:rsid w:val="003C7A34"/>
    <w:rsid w:val="003C7A7A"/>
    <w:rsid w:val="003C7B1C"/>
    <w:rsid w:val="003C7C51"/>
    <w:rsid w:val="003C7D41"/>
    <w:rsid w:val="003D00F1"/>
    <w:rsid w:val="003D010E"/>
    <w:rsid w:val="003D054C"/>
    <w:rsid w:val="003D06A2"/>
    <w:rsid w:val="003D07AC"/>
    <w:rsid w:val="003D07BE"/>
    <w:rsid w:val="003D07FC"/>
    <w:rsid w:val="003D0B93"/>
    <w:rsid w:val="003D0CF4"/>
    <w:rsid w:val="003D0D93"/>
    <w:rsid w:val="003D0DD4"/>
    <w:rsid w:val="003D0F2E"/>
    <w:rsid w:val="003D1015"/>
    <w:rsid w:val="003D114C"/>
    <w:rsid w:val="003D13E4"/>
    <w:rsid w:val="003D145A"/>
    <w:rsid w:val="003D150F"/>
    <w:rsid w:val="003D169A"/>
    <w:rsid w:val="003D16E1"/>
    <w:rsid w:val="003D1867"/>
    <w:rsid w:val="003D1CB8"/>
    <w:rsid w:val="003D1D6B"/>
    <w:rsid w:val="003D1FEC"/>
    <w:rsid w:val="003D233E"/>
    <w:rsid w:val="003D2C1D"/>
    <w:rsid w:val="003D2CD7"/>
    <w:rsid w:val="003D2DCC"/>
    <w:rsid w:val="003D2ECF"/>
    <w:rsid w:val="003D2F74"/>
    <w:rsid w:val="003D3150"/>
    <w:rsid w:val="003D35EC"/>
    <w:rsid w:val="003D3634"/>
    <w:rsid w:val="003D368D"/>
    <w:rsid w:val="003D3CA1"/>
    <w:rsid w:val="003D3D2C"/>
    <w:rsid w:val="003D3EDD"/>
    <w:rsid w:val="003D4187"/>
    <w:rsid w:val="003D4351"/>
    <w:rsid w:val="003D4488"/>
    <w:rsid w:val="003D44B5"/>
    <w:rsid w:val="003D4AF4"/>
    <w:rsid w:val="003D4BBB"/>
    <w:rsid w:val="003D4E59"/>
    <w:rsid w:val="003D5416"/>
    <w:rsid w:val="003D54D2"/>
    <w:rsid w:val="003D5553"/>
    <w:rsid w:val="003D5582"/>
    <w:rsid w:val="003D5912"/>
    <w:rsid w:val="003D59F8"/>
    <w:rsid w:val="003D5B09"/>
    <w:rsid w:val="003D5D07"/>
    <w:rsid w:val="003D5F45"/>
    <w:rsid w:val="003D627C"/>
    <w:rsid w:val="003D635A"/>
    <w:rsid w:val="003D647E"/>
    <w:rsid w:val="003D654D"/>
    <w:rsid w:val="003D687A"/>
    <w:rsid w:val="003D6E0E"/>
    <w:rsid w:val="003D7301"/>
    <w:rsid w:val="003D7354"/>
    <w:rsid w:val="003D7636"/>
    <w:rsid w:val="003D7922"/>
    <w:rsid w:val="003D7ADF"/>
    <w:rsid w:val="003D7B94"/>
    <w:rsid w:val="003E046B"/>
    <w:rsid w:val="003E05FA"/>
    <w:rsid w:val="003E0779"/>
    <w:rsid w:val="003E0B93"/>
    <w:rsid w:val="003E0EC2"/>
    <w:rsid w:val="003E1063"/>
    <w:rsid w:val="003E1254"/>
    <w:rsid w:val="003E161F"/>
    <w:rsid w:val="003E16E3"/>
    <w:rsid w:val="003E18D2"/>
    <w:rsid w:val="003E1B1C"/>
    <w:rsid w:val="003E1E34"/>
    <w:rsid w:val="003E1FDB"/>
    <w:rsid w:val="003E1FE7"/>
    <w:rsid w:val="003E244F"/>
    <w:rsid w:val="003E2792"/>
    <w:rsid w:val="003E286C"/>
    <w:rsid w:val="003E2DCF"/>
    <w:rsid w:val="003E315B"/>
    <w:rsid w:val="003E3218"/>
    <w:rsid w:val="003E3313"/>
    <w:rsid w:val="003E33AE"/>
    <w:rsid w:val="003E3536"/>
    <w:rsid w:val="003E47DA"/>
    <w:rsid w:val="003E4806"/>
    <w:rsid w:val="003E4D32"/>
    <w:rsid w:val="003E5125"/>
    <w:rsid w:val="003E51DC"/>
    <w:rsid w:val="003E5299"/>
    <w:rsid w:val="003E53DA"/>
    <w:rsid w:val="003E54B9"/>
    <w:rsid w:val="003E5598"/>
    <w:rsid w:val="003E5621"/>
    <w:rsid w:val="003E5A17"/>
    <w:rsid w:val="003E5ABD"/>
    <w:rsid w:val="003E5CEF"/>
    <w:rsid w:val="003E6190"/>
    <w:rsid w:val="003E6327"/>
    <w:rsid w:val="003E639B"/>
    <w:rsid w:val="003E6731"/>
    <w:rsid w:val="003E6874"/>
    <w:rsid w:val="003E69E5"/>
    <w:rsid w:val="003E6C6E"/>
    <w:rsid w:val="003E6E03"/>
    <w:rsid w:val="003E72D4"/>
    <w:rsid w:val="003E7DCB"/>
    <w:rsid w:val="003F066F"/>
    <w:rsid w:val="003F0843"/>
    <w:rsid w:val="003F09AA"/>
    <w:rsid w:val="003F09F8"/>
    <w:rsid w:val="003F0AE9"/>
    <w:rsid w:val="003F0AED"/>
    <w:rsid w:val="003F0E65"/>
    <w:rsid w:val="003F120D"/>
    <w:rsid w:val="003F129E"/>
    <w:rsid w:val="003F12B7"/>
    <w:rsid w:val="003F1374"/>
    <w:rsid w:val="003F15DF"/>
    <w:rsid w:val="003F1669"/>
    <w:rsid w:val="003F1696"/>
    <w:rsid w:val="003F1A00"/>
    <w:rsid w:val="003F1CF1"/>
    <w:rsid w:val="003F1E0B"/>
    <w:rsid w:val="003F2306"/>
    <w:rsid w:val="003F23F4"/>
    <w:rsid w:val="003F25EE"/>
    <w:rsid w:val="003F26E0"/>
    <w:rsid w:val="003F29D1"/>
    <w:rsid w:val="003F2D80"/>
    <w:rsid w:val="003F3233"/>
    <w:rsid w:val="003F337B"/>
    <w:rsid w:val="003F3569"/>
    <w:rsid w:val="003F3A20"/>
    <w:rsid w:val="003F3B93"/>
    <w:rsid w:val="003F3BD3"/>
    <w:rsid w:val="003F3EAB"/>
    <w:rsid w:val="003F3F31"/>
    <w:rsid w:val="003F3F6C"/>
    <w:rsid w:val="003F405C"/>
    <w:rsid w:val="003F40B9"/>
    <w:rsid w:val="003F41FD"/>
    <w:rsid w:val="003F4559"/>
    <w:rsid w:val="003F46F3"/>
    <w:rsid w:val="003F499D"/>
    <w:rsid w:val="003F4E17"/>
    <w:rsid w:val="003F53D9"/>
    <w:rsid w:val="003F5510"/>
    <w:rsid w:val="003F5584"/>
    <w:rsid w:val="003F58DD"/>
    <w:rsid w:val="003F594D"/>
    <w:rsid w:val="003F5CC8"/>
    <w:rsid w:val="003F5D42"/>
    <w:rsid w:val="003F5D52"/>
    <w:rsid w:val="003F5D70"/>
    <w:rsid w:val="003F5DE9"/>
    <w:rsid w:val="003F5EC2"/>
    <w:rsid w:val="003F634F"/>
    <w:rsid w:val="003F63FC"/>
    <w:rsid w:val="003F66A1"/>
    <w:rsid w:val="003F68C4"/>
    <w:rsid w:val="003F69F2"/>
    <w:rsid w:val="003F6DFE"/>
    <w:rsid w:val="003F7181"/>
    <w:rsid w:val="003F73BF"/>
    <w:rsid w:val="003F7603"/>
    <w:rsid w:val="003F77E2"/>
    <w:rsid w:val="003F7B00"/>
    <w:rsid w:val="003F7E93"/>
    <w:rsid w:val="003F7F74"/>
    <w:rsid w:val="004003BF"/>
    <w:rsid w:val="00400D16"/>
    <w:rsid w:val="00400EAB"/>
    <w:rsid w:val="00400EED"/>
    <w:rsid w:val="00401070"/>
    <w:rsid w:val="004010B0"/>
    <w:rsid w:val="004010C6"/>
    <w:rsid w:val="0040124D"/>
    <w:rsid w:val="00401259"/>
    <w:rsid w:val="004014A2"/>
    <w:rsid w:val="00401633"/>
    <w:rsid w:val="00401928"/>
    <w:rsid w:val="00401EA2"/>
    <w:rsid w:val="00401FFB"/>
    <w:rsid w:val="0040230B"/>
    <w:rsid w:val="0040235A"/>
    <w:rsid w:val="00402367"/>
    <w:rsid w:val="004023EC"/>
    <w:rsid w:val="004023F6"/>
    <w:rsid w:val="00402B5E"/>
    <w:rsid w:val="00402BE0"/>
    <w:rsid w:val="0040307D"/>
    <w:rsid w:val="0040319C"/>
    <w:rsid w:val="004031C9"/>
    <w:rsid w:val="00403217"/>
    <w:rsid w:val="004034DA"/>
    <w:rsid w:val="00403688"/>
    <w:rsid w:val="00403768"/>
    <w:rsid w:val="00403AC1"/>
    <w:rsid w:val="00403AC8"/>
    <w:rsid w:val="00403C87"/>
    <w:rsid w:val="00404061"/>
    <w:rsid w:val="00404083"/>
    <w:rsid w:val="00404126"/>
    <w:rsid w:val="0040439E"/>
    <w:rsid w:val="00404725"/>
    <w:rsid w:val="00404778"/>
    <w:rsid w:val="00404CB0"/>
    <w:rsid w:val="00404D84"/>
    <w:rsid w:val="004052D7"/>
    <w:rsid w:val="0040553C"/>
    <w:rsid w:val="00405615"/>
    <w:rsid w:val="00405710"/>
    <w:rsid w:val="004057B0"/>
    <w:rsid w:val="0040595D"/>
    <w:rsid w:val="00405ADA"/>
    <w:rsid w:val="00405B5A"/>
    <w:rsid w:val="00405CCF"/>
    <w:rsid w:val="00405FA6"/>
    <w:rsid w:val="004062CA"/>
    <w:rsid w:val="00406671"/>
    <w:rsid w:val="004066E6"/>
    <w:rsid w:val="00406A52"/>
    <w:rsid w:val="00406ADF"/>
    <w:rsid w:val="00406BD2"/>
    <w:rsid w:val="00406CDA"/>
    <w:rsid w:val="00406D0D"/>
    <w:rsid w:val="00406D9B"/>
    <w:rsid w:val="0040728C"/>
    <w:rsid w:val="00407553"/>
    <w:rsid w:val="004077B5"/>
    <w:rsid w:val="00407B58"/>
    <w:rsid w:val="00407C40"/>
    <w:rsid w:val="00410A3F"/>
    <w:rsid w:val="00410A6A"/>
    <w:rsid w:val="00410B1B"/>
    <w:rsid w:val="00410C8C"/>
    <w:rsid w:val="0041104D"/>
    <w:rsid w:val="0041144F"/>
    <w:rsid w:val="004114A0"/>
    <w:rsid w:val="004115C5"/>
    <w:rsid w:val="004116F0"/>
    <w:rsid w:val="00411941"/>
    <w:rsid w:val="00411979"/>
    <w:rsid w:val="00411A53"/>
    <w:rsid w:val="00411DFE"/>
    <w:rsid w:val="00411E84"/>
    <w:rsid w:val="00411E94"/>
    <w:rsid w:val="00412305"/>
    <w:rsid w:val="0041246D"/>
    <w:rsid w:val="00412BD1"/>
    <w:rsid w:val="00412C86"/>
    <w:rsid w:val="00412CCC"/>
    <w:rsid w:val="00412CE9"/>
    <w:rsid w:val="00412F23"/>
    <w:rsid w:val="00413098"/>
    <w:rsid w:val="00413125"/>
    <w:rsid w:val="0041317A"/>
    <w:rsid w:val="004132EF"/>
    <w:rsid w:val="00413622"/>
    <w:rsid w:val="0041362E"/>
    <w:rsid w:val="00413663"/>
    <w:rsid w:val="0041370A"/>
    <w:rsid w:val="00413770"/>
    <w:rsid w:val="00413E0E"/>
    <w:rsid w:val="0041407E"/>
    <w:rsid w:val="004143EC"/>
    <w:rsid w:val="0041440C"/>
    <w:rsid w:val="00414553"/>
    <w:rsid w:val="004148D1"/>
    <w:rsid w:val="00414A82"/>
    <w:rsid w:val="00414B45"/>
    <w:rsid w:val="00414B84"/>
    <w:rsid w:val="0041548A"/>
    <w:rsid w:val="00415717"/>
    <w:rsid w:val="004159EF"/>
    <w:rsid w:val="004159F2"/>
    <w:rsid w:val="00415AB3"/>
    <w:rsid w:val="004163B2"/>
    <w:rsid w:val="00416A51"/>
    <w:rsid w:val="00416C7D"/>
    <w:rsid w:val="004170E2"/>
    <w:rsid w:val="00417657"/>
    <w:rsid w:val="004178C9"/>
    <w:rsid w:val="00417B08"/>
    <w:rsid w:val="00417B4A"/>
    <w:rsid w:val="00417BF4"/>
    <w:rsid w:val="00417C18"/>
    <w:rsid w:val="00417D19"/>
    <w:rsid w:val="0042066F"/>
    <w:rsid w:val="004207E6"/>
    <w:rsid w:val="0042081B"/>
    <w:rsid w:val="00420963"/>
    <w:rsid w:val="00420A66"/>
    <w:rsid w:val="00420A8D"/>
    <w:rsid w:val="00420AEF"/>
    <w:rsid w:val="00420CBF"/>
    <w:rsid w:val="00420F19"/>
    <w:rsid w:val="00420F24"/>
    <w:rsid w:val="00421095"/>
    <w:rsid w:val="004216B5"/>
    <w:rsid w:val="00421B3E"/>
    <w:rsid w:val="00421C96"/>
    <w:rsid w:val="00421D60"/>
    <w:rsid w:val="00421DCD"/>
    <w:rsid w:val="00421EA9"/>
    <w:rsid w:val="00421FDC"/>
    <w:rsid w:val="004220D2"/>
    <w:rsid w:val="0042213D"/>
    <w:rsid w:val="004224AA"/>
    <w:rsid w:val="00422545"/>
    <w:rsid w:val="00422830"/>
    <w:rsid w:val="0042287C"/>
    <w:rsid w:val="00422A99"/>
    <w:rsid w:val="00422CAA"/>
    <w:rsid w:val="00423A41"/>
    <w:rsid w:val="00423A63"/>
    <w:rsid w:val="00423CA5"/>
    <w:rsid w:val="00423CC8"/>
    <w:rsid w:val="00423E1D"/>
    <w:rsid w:val="00423ECF"/>
    <w:rsid w:val="004241D7"/>
    <w:rsid w:val="004241DE"/>
    <w:rsid w:val="00424259"/>
    <w:rsid w:val="0042443B"/>
    <w:rsid w:val="004244B9"/>
    <w:rsid w:val="00424723"/>
    <w:rsid w:val="00424E88"/>
    <w:rsid w:val="00424F54"/>
    <w:rsid w:val="0042507F"/>
    <w:rsid w:val="004254BB"/>
    <w:rsid w:val="004254EE"/>
    <w:rsid w:val="004255BB"/>
    <w:rsid w:val="00425694"/>
    <w:rsid w:val="00425837"/>
    <w:rsid w:val="00425E18"/>
    <w:rsid w:val="00425E54"/>
    <w:rsid w:val="00425FD6"/>
    <w:rsid w:val="0042668E"/>
    <w:rsid w:val="00426705"/>
    <w:rsid w:val="004269CD"/>
    <w:rsid w:val="00426DA2"/>
    <w:rsid w:val="00426EF7"/>
    <w:rsid w:val="0042707B"/>
    <w:rsid w:val="00427123"/>
    <w:rsid w:val="0042716C"/>
    <w:rsid w:val="0042719F"/>
    <w:rsid w:val="004276AE"/>
    <w:rsid w:val="004279F0"/>
    <w:rsid w:val="00427A1F"/>
    <w:rsid w:val="00427E4A"/>
    <w:rsid w:val="00430092"/>
    <w:rsid w:val="00430807"/>
    <w:rsid w:val="004309E6"/>
    <w:rsid w:val="00430AA8"/>
    <w:rsid w:val="00430F16"/>
    <w:rsid w:val="004311B1"/>
    <w:rsid w:val="00431366"/>
    <w:rsid w:val="0043155D"/>
    <w:rsid w:val="004316AD"/>
    <w:rsid w:val="0043184F"/>
    <w:rsid w:val="00431919"/>
    <w:rsid w:val="00431A5B"/>
    <w:rsid w:val="00431B04"/>
    <w:rsid w:val="00431D5E"/>
    <w:rsid w:val="00431EB6"/>
    <w:rsid w:val="00431FCD"/>
    <w:rsid w:val="00431FEE"/>
    <w:rsid w:val="004320DF"/>
    <w:rsid w:val="00432972"/>
    <w:rsid w:val="00433182"/>
    <w:rsid w:val="0043325F"/>
    <w:rsid w:val="00433389"/>
    <w:rsid w:val="00433465"/>
    <w:rsid w:val="0043356B"/>
    <w:rsid w:val="00433772"/>
    <w:rsid w:val="00433A9F"/>
    <w:rsid w:val="00433B6F"/>
    <w:rsid w:val="00433F76"/>
    <w:rsid w:val="00434023"/>
    <w:rsid w:val="00434107"/>
    <w:rsid w:val="00434776"/>
    <w:rsid w:val="00434791"/>
    <w:rsid w:val="004347B8"/>
    <w:rsid w:val="00434D72"/>
    <w:rsid w:val="00434E34"/>
    <w:rsid w:val="00434FCC"/>
    <w:rsid w:val="00435131"/>
    <w:rsid w:val="0043560B"/>
    <w:rsid w:val="00435828"/>
    <w:rsid w:val="00435F60"/>
    <w:rsid w:val="004362C2"/>
    <w:rsid w:val="00436408"/>
    <w:rsid w:val="00436454"/>
    <w:rsid w:val="00436710"/>
    <w:rsid w:val="0043675E"/>
    <w:rsid w:val="004367ED"/>
    <w:rsid w:val="004367F5"/>
    <w:rsid w:val="00436935"/>
    <w:rsid w:val="00436E53"/>
    <w:rsid w:val="00436F5C"/>
    <w:rsid w:val="0043733C"/>
    <w:rsid w:val="0043761E"/>
    <w:rsid w:val="00437990"/>
    <w:rsid w:val="00437C51"/>
    <w:rsid w:val="00437F85"/>
    <w:rsid w:val="00440348"/>
    <w:rsid w:val="0044061E"/>
    <w:rsid w:val="00440787"/>
    <w:rsid w:val="00440B61"/>
    <w:rsid w:val="00440BA5"/>
    <w:rsid w:val="00440FCF"/>
    <w:rsid w:val="0044145C"/>
    <w:rsid w:val="004416C0"/>
    <w:rsid w:val="00441818"/>
    <w:rsid w:val="00441A9E"/>
    <w:rsid w:val="00441AE0"/>
    <w:rsid w:val="00441F58"/>
    <w:rsid w:val="00442343"/>
    <w:rsid w:val="00442656"/>
    <w:rsid w:val="004430BC"/>
    <w:rsid w:val="004430C5"/>
    <w:rsid w:val="00443432"/>
    <w:rsid w:val="00443862"/>
    <w:rsid w:val="00443A57"/>
    <w:rsid w:val="00444064"/>
    <w:rsid w:val="0044409A"/>
    <w:rsid w:val="00444270"/>
    <w:rsid w:val="00444423"/>
    <w:rsid w:val="0044457E"/>
    <w:rsid w:val="00444730"/>
    <w:rsid w:val="00444A2C"/>
    <w:rsid w:val="00444CD9"/>
    <w:rsid w:val="00444DB0"/>
    <w:rsid w:val="004450AB"/>
    <w:rsid w:val="0044519D"/>
    <w:rsid w:val="0044553F"/>
    <w:rsid w:val="004455C8"/>
    <w:rsid w:val="00445616"/>
    <w:rsid w:val="00445627"/>
    <w:rsid w:val="00445663"/>
    <w:rsid w:val="00445833"/>
    <w:rsid w:val="004458C4"/>
    <w:rsid w:val="00445B96"/>
    <w:rsid w:val="00445CFA"/>
    <w:rsid w:val="00445DE2"/>
    <w:rsid w:val="00445E30"/>
    <w:rsid w:val="00445E6A"/>
    <w:rsid w:val="004461E5"/>
    <w:rsid w:val="00446207"/>
    <w:rsid w:val="0044628C"/>
    <w:rsid w:val="004462EA"/>
    <w:rsid w:val="00446E89"/>
    <w:rsid w:val="00447332"/>
    <w:rsid w:val="00447640"/>
    <w:rsid w:val="00447778"/>
    <w:rsid w:val="004478F1"/>
    <w:rsid w:val="00447B1F"/>
    <w:rsid w:val="00447BFD"/>
    <w:rsid w:val="00447F1D"/>
    <w:rsid w:val="00450757"/>
    <w:rsid w:val="00450809"/>
    <w:rsid w:val="004509E2"/>
    <w:rsid w:val="00451297"/>
    <w:rsid w:val="00451592"/>
    <w:rsid w:val="004516DC"/>
    <w:rsid w:val="00451749"/>
    <w:rsid w:val="00451865"/>
    <w:rsid w:val="00452258"/>
    <w:rsid w:val="00452323"/>
    <w:rsid w:val="004528A8"/>
    <w:rsid w:val="00452B56"/>
    <w:rsid w:val="00452C51"/>
    <w:rsid w:val="00452FAF"/>
    <w:rsid w:val="00453434"/>
    <w:rsid w:val="00453AC7"/>
    <w:rsid w:val="00453C6E"/>
    <w:rsid w:val="00453C8A"/>
    <w:rsid w:val="004540AD"/>
    <w:rsid w:val="0045456F"/>
    <w:rsid w:val="00454860"/>
    <w:rsid w:val="0045488E"/>
    <w:rsid w:val="00454972"/>
    <w:rsid w:val="00454A52"/>
    <w:rsid w:val="00454A90"/>
    <w:rsid w:val="00454E47"/>
    <w:rsid w:val="00454F46"/>
    <w:rsid w:val="00455079"/>
    <w:rsid w:val="00455754"/>
    <w:rsid w:val="004557A8"/>
    <w:rsid w:val="00455811"/>
    <w:rsid w:val="00455B2B"/>
    <w:rsid w:val="00455CAA"/>
    <w:rsid w:val="00455E16"/>
    <w:rsid w:val="00455E6F"/>
    <w:rsid w:val="0045601A"/>
    <w:rsid w:val="00456302"/>
    <w:rsid w:val="004563AC"/>
    <w:rsid w:val="00456453"/>
    <w:rsid w:val="004565A6"/>
    <w:rsid w:val="00456C73"/>
    <w:rsid w:val="00456FED"/>
    <w:rsid w:val="004572C8"/>
    <w:rsid w:val="004573BD"/>
    <w:rsid w:val="004575F9"/>
    <w:rsid w:val="00457613"/>
    <w:rsid w:val="00457671"/>
    <w:rsid w:val="00457685"/>
    <w:rsid w:val="00457DAE"/>
    <w:rsid w:val="00457EC3"/>
    <w:rsid w:val="00460229"/>
    <w:rsid w:val="00460627"/>
    <w:rsid w:val="00460D22"/>
    <w:rsid w:val="004610A4"/>
    <w:rsid w:val="0046127E"/>
    <w:rsid w:val="0046149C"/>
    <w:rsid w:val="004615B3"/>
    <w:rsid w:val="004616C7"/>
    <w:rsid w:val="0046176D"/>
    <w:rsid w:val="004617DD"/>
    <w:rsid w:val="00461823"/>
    <w:rsid w:val="004618F4"/>
    <w:rsid w:val="00461A96"/>
    <w:rsid w:val="00461AF4"/>
    <w:rsid w:val="00461B24"/>
    <w:rsid w:val="00461B9A"/>
    <w:rsid w:val="00461EDE"/>
    <w:rsid w:val="00462016"/>
    <w:rsid w:val="004622F3"/>
    <w:rsid w:val="0046231D"/>
    <w:rsid w:val="00462820"/>
    <w:rsid w:val="00462B18"/>
    <w:rsid w:val="00462F17"/>
    <w:rsid w:val="0046324F"/>
    <w:rsid w:val="00463391"/>
    <w:rsid w:val="00463453"/>
    <w:rsid w:val="0046393D"/>
    <w:rsid w:val="00463A10"/>
    <w:rsid w:val="00463B97"/>
    <w:rsid w:val="00463D45"/>
    <w:rsid w:val="00463F73"/>
    <w:rsid w:val="00463FFB"/>
    <w:rsid w:val="0046439D"/>
    <w:rsid w:val="00464589"/>
    <w:rsid w:val="00464600"/>
    <w:rsid w:val="00464855"/>
    <w:rsid w:val="00464A41"/>
    <w:rsid w:val="004652A9"/>
    <w:rsid w:val="0046549B"/>
    <w:rsid w:val="0046556F"/>
    <w:rsid w:val="0046567E"/>
    <w:rsid w:val="00465AAF"/>
    <w:rsid w:val="00465E13"/>
    <w:rsid w:val="00465E6E"/>
    <w:rsid w:val="00466149"/>
    <w:rsid w:val="0046618A"/>
    <w:rsid w:val="00466286"/>
    <w:rsid w:val="004664A7"/>
    <w:rsid w:val="0046656A"/>
    <w:rsid w:val="00466E09"/>
    <w:rsid w:val="00466E98"/>
    <w:rsid w:val="00467215"/>
    <w:rsid w:val="0046756B"/>
    <w:rsid w:val="00467D8C"/>
    <w:rsid w:val="00467EAB"/>
    <w:rsid w:val="004704AD"/>
    <w:rsid w:val="00470762"/>
    <w:rsid w:val="00470F6A"/>
    <w:rsid w:val="00470F73"/>
    <w:rsid w:val="00471282"/>
    <w:rsid w:val="00471356"/>
    <w:rsid w:val="004713E0"/>
    <w:rsid w:val="00471496"/>
    <w:rsid w:val="0047157C"/>
    <w:rsid w:val="00471647"/>
    <w:rsid w:val="00471D3B"/>
    <w:rsid w:val="00471E02"/>
    <w:rsid w:val="00471EE7"/>
    <w:rsid w:val="00471F24"/>
    <w:rsid w:val="00471F3E"/>
    <w:rsid w:val="00471F5B"/>
    <w:rsid w:val="00472108"/>
    <w:rsid w:val="0047220D"/>
    <w:rsid w:val="004722A7"/>
    <w:rsid w:val="004723F4"/>
    <w:rsid w:val="004729BB"/>
    <w:rsid w:val="00472A27"/>
    <w:rsid w:val="00472C5C"/>
    <w:rsid w:val="00472EE1"/>
    <w:rsid w:val="0047304E"/>
    <w:rsid w:val="004735EC"/>
    <w:rsid w:val="004737ED"/>
    <w:rsid w:val="0047392A"/>
    <w:rsid w:val="00473B63"/>
    <w:rsid w:val="00473BFD"/>
    <w:rsid w:val="00473F21"/>
    <w:rsid w:val="0047437F"/>
    <w:rsid w:val="0047457E"/>
    <w:rsid w:val="00474713"/>
    <w:rsid w:val="00474802"/>
    <w:rsid w:val="00474AFB"/>
    <w:rsid w:val="00474B59"/>
    <w:rsid w:val="00474FB0"/>
    <w:rsid w:val="00474FDA"/>
    <w:rsid w:val="00475238"/>
    <w:rsid w:val="00475461"/>
    <w:rsid w:val="004756E8"/>
    <w:rsid w:val="00475E3A"/>
    <w:rsid w:val="00475E6A"/>
    <w:rsid w:val="00475F13"/>
    <w:rsid w:val="004762DE"/>
    <w:rsid w:val="00476466"/>
    <w:rsid w:val="0047667F"/>
    <w:rsid w:val="00476CCB"/>
    <w:rsid w:val="00476D9B"/>
    <w:rsid w:val="00476EE2"/>
    <w:rsid w:val="0047704B"/>
    <w:rsid w:val="00477258"/>
    <w:rsid w:val="00477407"/>
    <w:rsid w:val="0047756F"/>
    <w:rsid w:val="0047783B"/>
    <w:rsid w:val="00477A6F"/>
    <w:rsid w:val="00477BB3"/>
    <w:rsid w:val="00477ED7"/>
    <w:rsid w:val="00480252"/>
    <w:rsid w:val="004808DD"/>
    <w:rsid w:val="00480990"/>
    <w:rsid w:val="00480A61"/>
    <w:rsid w:val="004811B0"/>
    <w:rsid w:val="0048142A"/>
    <w:rsid w:val="004817CB"/>
    <w:rsid w:val="00481808"/>
    <w:rsid w:val="00481947"/>
    <w:rsid w:val="00481952"/>
    <w:rsid w:val="004819E3"/>
    <w:rsid w:val="00481AB4"/>
    <w:rsid w:val="00481C7D"/>
    <w:rsid w:val="00481D24"/>
    <w:rsid w:val="00481EBE"/>
    <w:rsid w:val="00481EDF"/>
    <w:rsid w:val="004820D5"/>
    <w:rsid w:val="00482824"/>
    <w:rsid w:val="00482A25"/>
    <w:rsid w:val="00482B70"/>
    <w:rsid w:val="00482D81"/>
    <w:rsid w:val="00482DBB"/>
    <w:rsid w:val="004834C6"/>
    <w:rsid w:val="0048396F"/>
    <w:rsid w:val="004839BE"/>
    <w:rsid w:val="00483AB2"/>
    <w:rsid w:val="00483C42"/>
    <w:rsid w:val="00483D0B"/>
    <w:rsid w:val="00483E11"/>
    <w:rsid w:val="00484480"/>
    <w:rsid w:val="0048467E"/>
    <w:rsid w:val="004847FF"/>
    <w:rsid w:val="00484DBD"/>
    <w:rsid w:val="00484DC9"/>
    <w:rsid w:val="00484DED"/>
    <w:rsid w:val="00484E9E"/>
    <w:rsid w:val="00485057"/>
    <w:rsid w:val="00485246"/>
    <w:rsid w:val="00485253"/>
    <w:rsid w:val="00485339"/>
    <w:rsid w:val="004853A9"/>
    <w:rsid w:val="00485506"/>
    <w:rsid w:val="004855B9"/>
    <w:rsid w:val="0048575B"/>
    <w:rsid w:val="004857F4"/>
    <w:rsid w:val="0048586B"/>
    <w:rsid w:val="00486023"/>
    <w:rsid w:val="0048609E"/>
    <w:rsid w:val="0048659F"/>
    <w:rsid w:val="004865B4"/>
    <w:rsid w:val="0048678D"/>
    <w:rsid w:val="00486A2F"/>
    <w:rsid w:val="00486B90"/>
    <w:rsid w:val="00486D0A"/>
    <w:rsid w:val="00486EA2"/>
    <w:rsid w:val="0048716A"/>
    <w:rsid w:val="00487665"/>
    <w:rsid w:val="004877B1"/>
    <w:rsid w:val="00487A29"/>
    <w:rsid w:val="00487B84"/>
    <w:rsid w:val="00487C23"/>
    <w:rsid w:val="00490062"/>
    <w:rsid w:val="004900F7"/>
    <w:rsid w:val="00490185"/>
    <w:rsid w:val="0049039A"/>
    <w:rsid w:val="004903A5"/>
    <w:rsid w:val="0049051A"/>
    <w:rsid w:val="00490667"/>
    <w:rsid w:val="00490B8D"/>
    <w:rsid w:val="00490C54"/>
    <w:rsid w:val="00490C9A"/>
    <w:rsid w:val="00490D63"/>
    <w:rsid w:val="00490E10"/>
    <w:rsid w:val="00491531"/>
    <w:rsid w:val="0049181C"/>
    <w:rsid w:val="00491BA1"/>
    <w:rsid w:val="00491BB4"/>
    <w:rsid w:val="004921F6"/>
    <w:rsid w:val="00492490"/>
    <w:rsid w:val="00492737"/>
    <w:rsid w:val="00492D24"/>
    <w:rsid w:val="00492E83"/>
    <w:rsid w:val="004934C0"/>
    <w:rsid w:val="004936A4"/>
    <w:rsid w:val="004936DA"/>
    <w:rsid w:val="0049375D"/>
    <w:rsid w:val="00493AA5"/>
    <w:rsid w:val="00493CBC"/>
    <w:rsid w:val="00493D2F"/>
    <w:rsid w:val="004940EB"/>
    <w:rsid w:val="004946DB"/>
    <w:rsid w:val="00494743"/>
    <w:rsid w:val="004947E4"/>
    <w:rsid w:val="0049484C"/>
    <w:rsid w:val="004949B3"/>
    <w:rsid w:val="00494B13"/>
    <w:rsid w:val="00494B89"/>
    <w:rsid w:val="00494F71"/>
    <w:rsid w:val="00495217"/>
    <w:rsid w:val="00495372"/>
    <w:rsid w:val="00495399"/>
    <w:rsid w:val="0049558D"/>
    <w:rsid w:val="004955DB"/>
    <w:rsid w:val="00495757"/>
    <w:rsid w:val="00495803"/>
    <w:rsid w:val="00495998"/>
    <w:rsid w:val="00495AB8"/>
    <w:rsid w:val="00495E18"/>
    <w:rsid w:val="00495EC8"/>
    <w:rsid w:val="00496004"/>
    <w:rsid w:val="004960B3"/>
    <w:rsid w:val="00496421"/>
    <w:rsid w:val="00496B90"/>
    <w:rsid w:val="00496C22"/>
    <w:rsid w:val="00496C24"/>
    <w:rsid w:val="00496E90"/>
    <w:rsid w:val="00496F25"/>
    <w:rsid w:val="00496F60"/>
    <w:rsid w:val="00496FDA"/>
    <w:rsid w:val="00497176"/>
    <w:rsid w:val="00497376"/>
    <w:rsid w:val="004975A9"/>
    <w:rsid w:val="0049762F"/>
    <w:rsid w:val="004976E6"/>
    <w:rsid w:val="004979DB"/>
    <w:rsid w:val="00497C19"/>
    <w:rsid w:val="00497E38"/>
    <w:rsid w:val="00497FB5"/>
    <w:rsid w:val="004A0012"/>
    <w:rsid w:val="004A0354"/>
    <w:rsid w:val="004A049B"/>
    <w:rsid w:val="004A049C"/>
    <w:rsid w:val="004A062A"/>
    <w:rsid w:val="004A0A3D"/>
    <w:rsid w:val="004A0D43"/>
    <w:rsid w:val="004A1143"/>
    <w:rsid w:val="004A11F4"/>
    <w:rsid w:val="004A13D4"/>
    <w:rsid w:val="004A15DC"/>
    <w:rsid w:val="004A178F"/>
    <w:rsid w:val="004A1858"/>
    <w:rsid w:val="004A1926"/>
    <w:rsid w:val="004A19B2"/>
    <w:rsid w:val="004A225C"/>
    <w:rsid w:val="004A2295"/>
    <w:rsid w:val="004A22B8"/>
    <w:rsid w:val="004A22C4"/>
    <w:rsid w:val="004A24CB"/>
    <w:rsid w:val="004A2777"/>
    <w:rsid w:val="004A2A38"/>
    <w:rsid w:val="004A2A92"/>
    <w:rsid w:val="004A2B24"/>
    <w:rsid w:val="004A2C11"/>
    <w:rsid w:val="004A2D3B"/>
    <w:rsid w:val="004A3282"/>
    <w:rsid w:val="004A35AF"/>
    <w:rsid w:val="004A3A5E"/>
    <w:rsid w:val="004A400A"/>
    <w:rsid w:val="004A410B"/>
    <w:rsid w:val="004A42C9"/>
    <w:rsid w:val="004A44AF"/>
    <w:rsid w:val="004A47D7"/>
    <w:rsid w:val="004A47F0"/>
    <w:rsid w:val="004A4A13"/>
    <w:rsid w:val="004A4B0A"/>
    <w:rsid w:val="004A5123"/>
    <w:rsid w:val="004A52D3"/>
    <w:rsid w:val="004A5419"/>
    <w:rsid w:val="004A551D"/>
    <w:rsid w:val="004A587F"/>
    <w:rsid w:val="004A5936"/>
    <w:rsid w:val="004A59F0"/>
    <w:rsid w:val="004A5E17"/>
    <w:rsid w:val="004A5F6D"/>
    <w:rsid w:val="004A6278"/>
    <w:rsid w:val="004A6282"/>
    <w:rsid w:val="004A646C"/>
    <w:rsid w:val="004A653F"/>
    <w:rsid w:val="004A6865"/>
    <w:rsid w:val="004A6E5F"/>
    <w:rsid w:val="004A71A4"/>
    <w:rsid w:val="004A71C1"/>
    <w:rsid w:val="004A775F"/>
    <w:rsid w:val="004A77AE"/>
    <w:rsid w:val="004A77E1"/>
    <w:rsid w:val="004A7A28"/>
    <w:rsid w:val="004A7E95"/>
    <w:rsid w:val="004B07FD"/>
    <w:rsid w:val="004B08E4"/>
    <w:rsid w:val="004B0938"/>
    <w:rsid w:val="004B09DC"/>
    <w:rsid w:val="004B1661"/>
    <w:rsid w:val="004B16B7"/>
    <w:rsid w:val="004B17CC"/>
    <w:rsid w:val="004B1B72"/>
    <w:rsid w:val="004B23E9"/>
    <w:rsid w:val="004B251C"/>
    <w:rsid w:val="004B26AC"/>
    <w:rsid w:val="004B28F7"/>
    <w:rsid w:val="004B2D7B"/>
    <w:rsid w:val="004B2F6D"/>
    <w:rsid w:val="004B3050"/>
    <w:rsid w:val="004B32C5"/>
    <w:rsid w:val="004B39C3"/>
    <w:rsid w:val="004B3A5B"/>
    <w:rsid w:val="004B3AB0"/>
    <w:rsid w:val="004B3AC3"/>
    <w:rsid w:val="004B3BEF"/>
    <w:rsid w:val="004B3CD7"/>
    <w:rsid w:val="004B3E78"/>
    <w:rsid w:val="004B3F12"/>
    <w:rsid w:val="004B3F3E"/>
    <w:rsid w:val="004B42E5"/>
    <w:rsid w:val="004B4662"/>
    <w:rsid w:val="004B4A1A"/>
    <w:rsid w:val="004B4AA9"/>
    <w:rsid w:val="004B4E14"/>
    <w:rsid w:val="004B50B6"/>
    <w:rsid w:val="004B5791"/>
    <w:rsid w:val="004B5DF8"/>
    <w:rsid w:val="004B6075"/>
    <w:rsid w:val="004B6081"/>
    <w:rsid w:val="004B634C"/>
    <w:rsid w:val="004B6713"/>
    <w:rsid w:val="004B6720"/>
    <w:rsid w:val="004B681B"/>
    <w:rsid w:val="004B68CF"/>
    <w:rsid w:val="004B6AA4"/>
    <w:rsid w:val="004B6D86"/>
    <w:rsid w:val="004B6DE2"/>
    <w:rsid w:val="004B6FBD"/>
    <w:rsid w:val="004B7290"/>
    <w:rsid w:val="004B7499"/>
    <w:rsid w:val="004B754A"/>
    <w:rsid w:val="004B77B9"/>
    <w:rsid w:val="004B785A"/>
    <w:rsid w:val="004B79B6"/>
    <w:rsid w:val="004B7AB4"/>
    <w:rsid w:val="004B7D5B"/>
    <w:rsid w:val="004B7E74"/>
    <w:rsid w:val="004B7F35"/>
    <w:rsid w:val="004C0170"/>
    <w:rsid w:val="004C01FA"/>
    <w:rsid w:val="004C0242"/>
    <w:rsid w:val="004C03C8"/>
    <w:rsid w:val="004C041D"/>
    <w:rsid w:val="004C0509"/>
    <w:rsid w:val="004C053F"/>
    <w:rsid w:val="004C08B9"/>
    <w:rsid w:val="004C0C0F"/>
    <w:rsid w:val="004C0D72"/>
    <w:rsid w:val="004C1129"/>
    <w:rsid w:val="004C1188"/>
    <w:rsid w:val="004C11F7"/>
    <w:rsid w:val="004C12CB"/>
    <w:rsid w:val="004C13FA"/>
    <w:rsid w:val="004C140A"/>
    <w:rsid w:val="004C1877"/>
    <w:rsid w:val="004C1A67"/>
    <w:rsid w:val="004C1A92"/>
    <w:rsid w:val="004C1B59"/>
    <w:rsid w:val="004C1C68"/>
    <w:rsid w:val="004C1DD5"/>
    <w:rsid w:val="004C1F61"/>
    <w:rsid w:val="004C1FE4"/>
    <w:rsid w:val="004C24D7"/>
    <w:rsid w:val="004C276D"/>
    <w:rsid w:val="004C27BC"/>
    <w:rsid w:val="004C28A2"/>
    <w:rsid w:val="004C2ED1"/>
    <w:rsid w:val="004C301E"/>
    <w:rsid w:val="004C312A"/>
    <w:rsid w:val="004C357C"/>
    <w:rsid w:val="004C3A6A"/>
    <w:rsid w:val="004C3C24"/>
    <w:rsid w:val="004C40E0"/>
    <w:rsid w:val="004C4187"/>
    <w:rsid w:val="004C4410"/>
    <w:rsid w:val="004C4411"/>
    <w:rsid w:val="004C4679"/>
    <w:rsid w:val="004C4C93"/>
    <w:rsid w:val="004C4E55"/>
    <w:rsid w:val="004C512D"/>
    <w:rsid w:val="004C527E"/>
    <w:rsid w:val="004C59DE"/>
    <w:rsid w:val="004C5E98"/>
    <w:rsid w:val="004C5F6A"/>
    <w:rsid w:val="004C605E"/>
    <w:rsid w:val="004C618E"/>
    <w:rsid w:val="004C61DE"/>
    <w:rsid w:val="004C65CF"/>
    <w:rsid w:val="004C6834"/>
    <w:rsid w:val="004C71B9"/>
    <w:rsid w:val="004C79E5"/>
    <w:rsid w:val="004C7AB0"/>
    <w:rsid w:val="004C7C38"/>
    <w:rsid w:val="004C7CCB"/>
    <w:rsid w:val="004D055B"/>
    <w:rsid w:val="004D05C9"/>
    <w:rsid w:val="004D0999"/>
    <w:rsid w:val="004D0E82"/>
    <w:rsid w:val="004D1043"/>
    <w:rsid w:val="004D12A7"/>
    <w:rsid w:val="004D1505"/>
    <w:rsid w:val="004D1581"/>
    <w:rsid w:val="004D1615"/>
    <w:rsid w:val="004D1CBC"/>
    <w:rsid w:val="004D1F57"/>
    <w:rsid w:val="004D2071"/>
    <w:rsid w:val="004D21C1"/>
    <w:rsid w:val="004D25CB"/>
    <w:rsid w:val="004D261E"/>
    <w:rsid w:val="004D2B0C"/>
    <w:rsid w:val="004D2C34"/>
    <w:rsid w:val="004D2E21"/>
    <w:rsid w:val="004D2EFB"/>
    <w:rsid w:val="004D2F03"/>
    <w:rsid w:val="004D3158"/>
    <w:rsid w:val="004D3955"/>
    <w:rsid w:val="004D39B9"/>
    <w:rsid w:val="004D3CE6"/>
    <w:rsid w:val="004D3D0F"/>
    <w:rsid w:val="004D3FAD"/>
    <w:rsid w:val="004D3FB0"/>
    <w:rsid w:val="004D4420"/>
    <w:rsid w:val="004D481E"/>
    <w:rsid w:val="004D48DC"/>
    <w:rsid w:val="004D4A97"/>
    <w:rsid w:val="004D4BDF"/>
    <w:rsid w:val="004D4C18"/>
    <w:rsid w:val="004D4E30"/>
    <w:rsid w:val="004D5143"/>
    <w:rsid w:val="004D523F"/>
    <w:rsid w:val="004D52A6"/>
    <w:rsid w:val="004D56DD"/>
    <w:rsid w:val="004D5E2D"/>
    <w:rsid w:val="004D5FF2"/>
    <w:rsid w:val="004D6133"/>
    <w:rsid w:val="004D6430"/>
    <w:rsid w:val="004D6655"/>
    <w:rsid w:val="004D682D"/>
    <w:rsid w:val="004D6929"/>
    <w:rsid w:val="004D6956"/>
    <w:rsid w:val="004D6A90"/>
    <w:rsid w:val="004D6B17"/>
    <w:rsid w:val="004D6D92"/>
    <w:rsid w:val="004D711E"/>
    <w:rsid w:val="004D760F"/>
    <w:rsid w:val="004D76AD"/>
    <w:rsid w:val="004D79D1"/>
    <w:rsid w:val="004D7A26"/>
    <w:rsid w:val="004E00F7"/>
    <w:rsid w:val="004E01F7"/>
    <w:rsid w:val="004E066A"/>
    <w:rsid w:val="004E0778"/>
    <w:rsid w:val="004E08CA"/>
    <w:rsid w:val="004E0ABE"/>
    <w:rsid w:val="004E0AC5"/>
    <w:rsid w:val="004E0BA1"/>
    <w:rsid w:val="004E0F16"/>
    <w:rsid w:val="004E0F3C"/>
    <w:rsid w:val="004E1131"/>
    <w:rsid w:val="004E116D"/>
    <w:rsid w:val="004E164F"/>
    <w:rsid w:val="004E178B"/>
    <w:rsid w:val="004E1D3E"/>
    <w:rsid w:val="004E211F"/>
    <w:rsid w:val="004E21F3"/>
    <w:rsid w:val="004E22CD"/>
    <w:rsid w:val="004E2454"/>
    <w:rsid w:val="004E2690"/>
    <w:rsid w:val="004E26E2"/>
    <w:rsid w:val="004E27E0"/>
    <w:rsid w:val="004E297E"/>
    <w:rsid w:val="004E2AC1"/>
    <w:rsid w:val="004E2BC9"/>
    <w:rsid w:val="004E2E22"/>
    <w:rsid w:val="004E2FD6"/>
    <w:rsid w:val="004E322D"/>
    <w:rsid w:val="004E353D"/>
    <w:rsid w:val="004E35C0"/>
    <w:rsid w:val="004E36A2"/>
    <w:rsid w:val="004E3803"/>
    <w:rsid w:val="004E3E05"/>
    <w:rsid w:val="004E3E5E"/>
    <w:rsid w:val="004E3F61"/>
    <w:rsid w:val="004E408A"/>
    <w:rsid w:val="004E40BA"/>
    <w:rsid w:val="004E430C"/>
    <w:rsid w:val="004E4332"/>
    <w:rsid w:val="004E444E"/>
    <w:rsid w:val="004E4550"/>
    <w:rsid w:val="004E4741"/>
    <w:rsid w:val="004E4887"/>
    <w:rsid w:val="004E4C2A"/>
    <w:rsid w:val="004E4FD7"/>
    <w:rsid w:val="004E52B3"/>
    <w:rsid w:val="004E53E4"/>
    <w:rsid w:val="004E55C1"/>
    <w:rsid w:val="004E564F"/>
    <w:rsid w:val="004E5691"/>
    <w:rsid w:val="004E5BCA"/>
    <w:rsid w:val="004E5BD3"/>
    <w:rsid w:val="004E5EBA"/>
    <w:rsid w:val="004E6049"/>
    <w:rsid w:val="004E639A"/>
    <w:rsid w:val="004E682E"/>
    <w:rsid w:val="004E6E18"/>
    <w:rsid w:val="004E714F"/>
    <w:rsid w:val="004E7457"/>
    <w:rsid w:val="004E753A"/>
    <w:rsid w:val="004E7A05"/>
    <w:rsid w:val="004E7B7F"/>
    <w:rsid w:val="004E7BAB"/>
    <w:rsid w:val="004F0037"/>
    <w:rsid w:val="004F0153"/>
    <w:rsid w:val="004F018C"/>
    <w:rsid w:val="004F052D"/>
    <w:rsid w:val="004F057F"/>
    <w:rsid w:val="004F0D71"/>
    <w:rsid w:val="004F12AE"/>
    <w:rsid w:val="004F1796"/>
    <w:rsid w:val="004F1821"/>
    <w:rsid w:val="004F199F"/>
    <w:rsid w:val="004F1A0A"/>
    <w:rsid w:val="004F1BAB"/>
    <w:rsid w:val="004F1D26"/>
    <w:rsid w:val="004F1DE8"/>
    <w:rsid w:val="004F1ED3"/>
    <w:rsid w:val="004F2209"/>
    <w:rsid w:val="004F243D"/>
    <w:rsid w:val="004F2505"/>
    <w:rsid w:val="004F2695"/>
    <w:rsid w:val="004F29BE"/>
    <w:rsid w:val="004F2D57"/>
    <w:rsid w:val="004F2E7F"/>
    <w:rsid w:val="004F2EA9"/>
    <w:rsid w:val="004F2FCC"/>
    <w:rsid w:val="004F3018"/>
    <w:rsid w:val="004F30F1"/>
    <w:rsid w:val="004F3348"/>
    <w:rsid w:val="004F345B"/>
    <w:rsid w:val="004F3C5C"/>
    <w:rsid w:val="004F3E19"/>
    <w:rsid w:val="004F3ED1"/>
    <w:rsid w:val="004F3EE4"/>
    <w:rsid w:val="004F426F"/>
    <w:rsid w:val="004F42C7"/>
    <w:rsid w:val="004F4677"/>
    <w:rsid w:val="004F4C6F"/>
    <w:rsid w:val="004F4EA4"/>
    <w:rsid w:val="004F5114"/>
    <w:rsid w:val="004F5CC6"/>
    <w:rsid w:val="004F5F45"/>
    <w:rsid w:val="004F5FA9"/>
    <w:rsid w:val="004F65F2"/>
    <w:rsid w:val="004F67F6"/>
    <w:rsid w:val="004F68B1"/>
    <w:rsid w:val="004F68E6"/>
    <w:rsid w:val="004F69A8"/>
    <w:rsid w:val="004F6A81"/>
    <w:rsid w:val="004F6AB8"/>
    <w:rsid w:val="004F6DE8"/>
    <w:rsid w:val="004F6EA6"/>
    <w:rsid w:val="004F6EE5"/>
    <w:rsid w:val="004F6EFA"/>
    <w:rsid w:val="004F6F34"/>
    <w:rsid w:val="004F73FB"/>
    <w:rsid w:val="004F7638"/>
    <w:rsid w:val="004F7877"/>
    <w:rsid w:val="004F79AE"/>
    <w:rsid w:val="004F79E0"/>
    <w:rsid w:val="004F7A86"/>
    <w:rsid w:val="004F7C36"/>
    <w:rsid w:val="004F7DB3"/>
    <w:rsid w:val="004F7E4D"/>
    <w:rsid w:val="004F7F3E"/>
    <w:rsid w:val="0050004F"/>
    <w:rsid w:val="00500062"/>
    <w:rsid w:val="00500123"/>
    <w:rsid w:val="005005AE"/>
    <w:rsid w:val="005006C4"/>
    <w:rsid w:val="005006C8"/>
    <w:rsid w:val="0050097B"/>
    <w:rsid w:val="00500F84"/>
    <w:rsid w:val="005010E4"/>
    <w:rsid w:val="005010F2"/>
    <w:rsid w:val="005011CE"/>
    <w:rsid w:val="00501500"/>
    <w:rsid w:val="0050160A"/>
    <w:rsid w:val="005017CA"/>
    <w:rsid w:val="00501D92"/>
    <w:rsid w:val="00501E88"/>
    <w:rsid w:val="005023AE"/>
    <w:rsid w:val="0050266E"/>
    <w:rsid w:val="0050317A"/>
    <w:rsid w:val="005033B5"/>
    <w:rsid w:val="0050340A"/>
    <w:rsid w:val="00503560"/>
    <w:rsid w:val="0050377C"/>
    <w:rsid w:val="0050378A"/>
    <w:rsid w:val="005039DF"/>
    <w:rsid w:val="005039E1"/>
    <w:rsid w:val="00503EE1"/>
    <w:rsid w:val="00503F1E"/>
    <w:rsid w:val="0050446C"/>
    <w:rsid w:val="005045CF"/>
    <w:rsid w:val="00504A10"/>
    <w:rsid w:val="00504DF5"/>
    <w:rsid w:val="00504F06"/>
    <w:rsid w:val="00505249"/>
    <w:rsid w:val="005053F7"/>
    <w:rsid w:val="005055F8"/>
    <w:rsid w:val="005056BA"/>
    <w:rsid w:val="00506006"/>
    <w:rsid w:val="00506093"/>
    <w:rsid w:val="005065CA"/>
    <w:rsid w:val="005065E7"/>
    <w:rsid w:val="005066A7"/>
    <w:rsid w:val="00506CC1"/>
    <w:rsid w:val="00506CE6"/>
    <w:rsid w:val="00506DCE"/>
    <w:rsid w:val="00507392"/>
    <w:rsid w:val="00507404"/>
    <w:rsid w:val="0050749C"/>
    <w:rsid w:val="005075B1"/>
    <w:rsid w:val="005075B5"/>
    <w:rsid w:val="00507ED4"/>
    <w:rsid w:val="00507FE8"/>
    <w:rsid w:val="00507FEE"/>
    <w:rsid w:val="0051003A"/>
    <w:rsid w:val="00510151"/>
    <w:rsid w:val="005101B5"/>
    <w:rsid w:val="0051039A"/>
    <w:rsid w:val="005107CE"/>
    <w:rsid w:val="005107FE"/>
    <w:rsid w:val="00510BBD"/>
    <w:rsid w:val="005112A8"/>
    <w:rsid w:val="005118BC"/>
    <w:rsid w:val="00511B6D"/>
    <w:rsid w:val="00511F9C"/>
    <w:rsid w:val="005124EF"/>
    <w:rsid w:val="005125A6"/>
    <w:rsid w:val="005125E2"/>
    <w:rsid w:val="005125F5"/>
    <w:rsid w:val="005125FC"/>
    <w:rsid w:val="00512C30"/>
    <w:rsid w:val="00512FDD"/>
    <w:rsid w:val="0051323D"/>
    <w:rsid w:val="00513273"/>
    <w:rsid w:val="0051327E"/>
    <w:rsid w:val="00513483"/>
    <w:rsid w:val="005137EF"/>
    <w:rsid w:val="005139D6"/>
    <w:rsid w:val="00513F7A"/>
    <w:rsid w:val="00513FDE"/>
    <w:rsid w:val="005144C2"/>
    <w:rsid w:val="00514634"/>
    <w:rsid w:val="0051498E"/>
    <w:rsid w:val="00514ADD"/>
    <w:rsid w:val="00514BC5"/>
    <w:rsid w:val="00514C76"/>
    <w:rsid w:val="00514D0F"/>
    <w:rsid w:val="00514FAB"/>
    <w:rsid w:val="00514FE5"/>
    <w:rsid w:val="00515056"/>
    <w:rsid w:val="00515163"/>
    <w:rsid w:val="005153B0"/>
    <w:rsid w:val="00515426"/>
    <w:rsid w:val="00515A89"/>
    <w:rsid w:val="00515C26"/>
    <w:rsid w:val="00515DA3"/>
    <w:rsid w:val="00515DEE"/>
    <w:rsid w:val="00516243"/>
    <w:rsid w:val="00516337"/>
    <w:rsid w:val="005163AE"/>
    <w:rsid w:val="00516414"/>
    <w:rsid w:val="00516A78"/>
    <w:rsid w:val="00516B1C"/>
    <w:rsid w:val="00517CBF"/>
    <w:rsid w:val="00517CDB"/>
    <w:rsid w:val="00517D19"/>
    <w:rsid w:val="00517D87"/>
    <w:rsid w:val="00517DE1"/>
    <w:rsid w:val="00520244"/>
    <w:rsid w:val="00520405"/>
    <w:rsid w:val="0052059E"/>
    <w:rsid w:val="005205AF"/>
    <w:rsid w:val="00520954"/>
    <w:rsid w:val="00520B02"/>
    <w:rsid w:val="0052121A"/>
    <w:rsid w:val="0052151B"/>
    <w:rsid w:val="005215CE"/>
    <w:rsid w:val="00521831"/>
    <w:rsid w:val="005219D0"/>
    <w:rsid w:val="0052200C"/>
    <w:rsid w:val="005221D7"/>
    <w:rsid w:val="005221E9"/>
    <w:rsid w:val="005225A6"/>
    <w:rsid w:val="00522699"/>
    <w:rsid w:val="005226B3"/>
    <w:rsid w:val="005228E3"/>
    <w:rsid w:val="00522A48"/>
    <w:rsid w:val="00522A65"/>
    <w:rsid w:val="00522D5D"/>
    <w:rsid w:val="00522F9D"/>
    <w:rsid w:val="00523330"/>
    <w:rsid w:val="005233A0"/>
    <w:rsid w:val="0052340A"/>
    <w:rsid w:val="00523428"/>
    <w:rsid w:val="00523461"/>
    <w:rsid w:val="005236EF"/>
    <w:rsid w:val="0052370B"/>
    <w:rsid w:val="00523754"/>
    <w:rsid w:val="00523E53"/>
    <w:rsid w:val="00524156"/>
    <w:rsid w:val="005241BC"/>
    <w:rsid w:val="005242C9"/>
    <w:rsid w:val="0052463B"/>
    <w:rsid w:val="00524A08"/>
    <w:rsid w:val="00524D1E"/>
    <w:rsid w:val="00525118"/>
    <w:rsid w:val="0052516A"/>
    <w:rsid w:val="005251A6"/>
    <w:rsid w:val="005252E4"/>
    <w:rsid w:val="0052584C"/>
    <w:rsid w:val="00525A23"/>
    <w:rsid w:val="00525B28"/>
    <w:rsid w:val="00525D26"/>
    <w:rsid w:val="00525DA2"/>
    <w:rsid w:val="00525FD7"/>
    <w:rsid w:val="0052661C"/>
    <w:rsid w:val="005267EE"/>
    <w:rsid w:val="0052695C"/>
    <w:rsid w:val="00526AA9"/>
    <w:rsid w:val="00526AE9"/>
    <w:rsid w:val="00526FB5"/>
    <w:rsid w:val="00527130"/>
    <w:rsid w:val="005271E4"/>
    <w:rsid w:val="005274CB"/>
    <w:rsid w:val="00527AB4"/>
    <w:rsid w:val="00527B3C"/>
    <w:rsid w:val="00527DCF"/>
    <w:rsid w:val="00527EA6"/>
    <w:rsid w:val="00527F84"/>
    <w:rsid w:val="005304F2"/>
    <w:rsid w:val="0053076C"/>
    <w:rsid w:val="00530E07"/>
    <w:rsid w:val="005310B2"/>
    <w:rsid w:val="00531591"/>
    <w:rsid w:val="0053180F"/>
    <w:rsid w:val="00531987"/>
    <w:rsid w:val="00531A20"/>
    <w:rsid w:val="00531CD2"/>
    <w:rsid w:val="00531D3A"/>
    <w:rsid w:val="00531D71"/>
    <w:rsid w:val="00531DA2"/>
    <w:rsid w:val="00532467"/>
    <w:rsid w:val="005325BC"/>
    <w:rsid w:val="005327A8"/>
    <w:rsid w:val="00532C93"/>
    <w:rsid w:val="00532C96"/>
    <w:rsid w:val="00532F73"/>
    <w:rsid w:val="00533003"/>
    <w:rsid w:val="005331F5"/>
    <w:rsid w:val="00533276"/>
    <w:rsid w:val="00533307"/>
    <w:rsid w:val="00533336"/>
    <w:rsid w:val="005333D8"/>
    <w:rsid w:val="005334A5"/>
    <w:rsid w:val="005334F8"/>
    <w:rsid w:val="00533A11"/>
    <w:rsid w:val="00533F50"/>
    <w:rsid w:val="00534ED4"/>
    <w:rsid w:val="00534F7F"/>
    <w:rsid w:val="0053520F"/>
    <w:rsid w:val="005353C9"/>
    <w:rsid w:val="00535401"/>
    <w:rsid w:val="0053567D"/>
    <w:rsid w:val="00535B92"/>
    <w:rsid w:val="00535C03"/>
    <w:rsid w:val="0053694A"/>
    <w:rsid w:val="00536952"/>
    <w:rsid w:val="00536B3D"/>
    <w:rsid w:val="00536CCD"/>
    <w:rsid w:val="0053701E"/>
    <w:rsid w:val="0053723B"/>
    <w:rsid w:val="005374B2"/>
    <w:rsid w:val="005375C8"/>
    <w:rsid w:val="005402C8"/>
    <w:rsid w:val="00540508"/>
    <w:rsid w:val="00540591"/>
    <w:rsid w:val="005406A6"/>
    <w:rsid w:val="00540AE4"/>
    <w:rsid w:val="00540CA1"/>
    <w:rsid w:val="00540E6B"/>
    <w:rsid w:val="005411CC"/>
    <w:rsid w:val="005417C4"/>
    <w:rsid w:val="00541AA2"/>
    <w:rsid w:val="00541B1D"/>
    <w:rsid w:val="00541F4E"/>
    <w:rsid w:val="00542407"/>
    <w:rsid w:val="005425A8"/>
    <w:rsid w:val="00542DB2"/>
    <w:rsid w:val="005430E9"/>
    <w:rsid w:val="00543160"/>
    <w:rsid w:val="005431BA"/>
    <w:rsid w:val="0054347F"/>
    <w:rsid w:val="0054348A"/>
    <w:rsid w:val="00543614"/>
    <w:rsid w:val="00543644"/>
    <w:rsid w:val="00543E92"/>
    <w:rsid w:val="0054407A"/>
    <w:rsid w:val="00544184"/>
    <w:rsid w:val="00544193"/>
    <w:rsid w:val="0054466D"/>
    <w:rsid w:val="0054471E"/>
    <w:rsid w:val="00544742"/>
    <w:rsid w:val="005447E8"/>
    <w:rsid w:val="00544857"/>
    <w:rsid w:val="00544BF5"/>
    <w:rsid w:val="00544BF7"/>
    <w:rsid w:val="005450DD"/>
    <w:rsid w:val="005452BE"/>
    <w:rsid w:val="0054537A"/>
    <w:rsid w:val="00545587"/>
    <w:rsid w:val="005457DE"/>
    <w:rsid w:val="00545983"/>
    <w:rsid w:val="00545A68"/>
    <w:rsid w:val="00545AA0"/>
    <w:rsid w:val="00545EC6"/>
    <w:rsid w:val="00545F02"/>
    <w:rsid w:val="00546034"/>
    <w:rsid w:val="0054622A"/>
    <w:rsid w:val="00546393"/>
    <w:rsid w:val="00546AB2"/>
    <w:rsid w:val="00546B61"/>
    <w:rsid w:val="00546CEF"/>
    <w:rsid w:val="0054784D"/>
    <w:rsid w:val="00547B8B"/>
    <w:rsid w:val="00547D16"/>
    <w:rsid w:val="00547DD9"/>
    <w:rsid w:val="00547E76"/>
    <w:rsid w:val="00547F89"/>
    <w:rsid w:val="00550143"/>
    <w:rsid w:val="0055052A"/>
    <w:rsid w:val="0055085A"/>
    <w:rsid w:val="00550B6B"/>
    <w:rsid w:val="00550C59"/>
    <w:rsid w:val="005514F9"/>
    <w:rsid w:val="00551618"/>
    <w:rsid w:val="00551785"/>
    <w:rsid w:val="00551BF6"/>
    <w:rsid w:val="00551C28"/>
    <w:rsid w:val="00551D79"/>
    <w:rsid w:val="00551D7D"/>
    <w:rsid w:val="00551FD1"/>
    <w:rsid w:val="005520AB"/>
    <w:rsid w:val="00552141"/>
    <w:rsid w:val="00552526"/>
    <w:rsid w:val="00552C39"/>
    <w:rsid w:val="00552C9F"/>
    <w:rsid w:val="00552E64"/>
    <w:rsid w:val="00553014"/>
    <w:rsid w:val="0055312F"/>
    <w:rsid w:val="005531FB"/>
    <w:rsid w:val="00553456"/>
    <w:rsid w:val="005534ED"/>
    <w:rsid w:val="00553569"/>
    <w:rsid w:val="005537F9"/>
    <w:rsid w:val="0055383F"/>
    <w:rsid w:val="00553868"/>
    <w:rsid w:val="00553D6B"/>
    <w:rsid w:val="005540D1"/>
    <w:rsid w:val="005542D7"/>
    <w:rsid w:val="00554504"/>
    <w:rsid w:val="00554863"/>
    <w:rsid w:val="00554B2B"/>
    <w:rsid w:val="00554DD7"/>
    <w:rsid w:val="00554EB3"/>
    <w:rsid w:val="005555CF"/>
    <w:rsid w:val="005556D3"/>
    <w:rsid w:val="00555C4D"/>
    <w:rsid w:val="00556038"/>
    <w:rsid w:val="005560FD"/>
    <w:rsid w:val="005560FE"/>
    <w:rsid w:val="00556117"/>
    <w:rsid w:val="00556175"/>
    <w:rsid w:val="00556B67"/>
    <w:rsid w:val="00556DEC"/>
    <w:rsid w:val="00556E57"/>
    <w:rsid w:val="00556FE5"/>
    <w:rsid w:val="00557251"/>
    <w:rsid w:val="005575F9"/>
    <w:rsid w:val="0055792C"/>
    <w:rsid w:val="00557969"/>
    <w:rsid w:val="00557A85"/>
    <w:rsid w:val="00557D2F"/>
    <w:rsid w:val="00557DFF"/>
    <w:rsid w:val="0056055C"/>
    <w:rsid w:val="005605DE"/>
    <w:rsid w:val="0056063E"/>
    <w:rsid w:val="0056082B"/>
    <w:rsid w:val="00560957"/>
    <w:rsid w:val="00560C23"/>
    <w:rsid w:val="00560CF4"/>
    <w:rsid w:val="00560D65"/>
    <w:rsid w:val="00560DF5"/>
    <w:rsid w:val="00560E00"/>
    <w:rsid w:val="00561052"/>
    <w:rsid w:val="00561116"/>
    <w:rsid w:val="00561139"/>
    <w:rsid w:val="0056113C"/>
    <w:rsid w:val="005611AE"/>
    <w:rsid w:val="005614AB"/>
    <w:rsid w:val="00561689"/>
    <w:rsid w:val="005616B1"/>
    <w:rsid w:val="00561825"/>
    <w:rsid w:val="00561A2F"/>
    <w:rsid w:val="005627D2"/>
    <w:rsid w:val="005628A2"/>
    <w:rsid w:val="00562AE4"/>
    <w:rsid w:val="00562B45"/>
    <w:rsid w:val="00562B98"/>
    <w:rsid w:val="00562FFF"/>
    <w:rsid w:val="005630EF"/>
    <w:rsid w:val="005633A5"/>
    <w:rsid w:val="0056352E"/>
    <w:rsid w:val="00563B1A"/>
    <w:rsid w:val="00563E34"/>
    <w:rsid w:val="00563F2E"/>
    <w:rsid w:val="00563F5C"/>
    <w:rsid w:val="005640E1"/>
    <w:rsid w:val="005642A3"/>
    <w:rsid w:val="00564511"/>
    <w:rsid w:val="00564816"/>
    <w:rsid w:val="00564888"/>
    <w:rsid w:val="00564943"/>
    <w:rsid w:val="00564DBF"/>
    <w:rsid w:val="00564E1C"/>
    <w:rsid w:val="0056520A"/>
    <w:rsid w:val="00565453"/>
    <w:rsid w:val="00565753"/>
    <w:rsid w:val="00565D29"/>
    <w:rsid w:val="00565DC5"/>
    <w:rsid w:val="00565EDB"/>
    <w:rsid w:val="00565F15"/>
    <w:rsid w:val="00566145"/>
    <w:rsid w:val="0056617F"/>
    <w:rsid w:val="005662FA"/>
    <w:rsid w:val="00566354"/>
    <w:rsid w:val="0056675F"/>
    <w:rsid w:val="0056688A"/>
    <w:rsid w:val="00566EFF"/>
    <w:rsid w:val="00566F2B"/>
    <w:rsid w:val="00567042"/>
    <w:rsid w:val="0056719E"/>
    <w:rsid w:val="00567411"/>
    <w:rsid w:val="005679B1"/>
    <w:rsid w:val="00567B1E"/>
    <w:rsid w:val="00570002"/>
    <w:rsid w:val="0057008D"/>
    <w:rsid w:val="005701AA"/>
    <w:rsid w:val="005701B2"/>
    <w:rsid w:val="005701F8"/>
    <w:rsid w:val="005706DB"/>
    <w:rsid w:val="00570946"/>
    <w:rsid w:val="00570976"/>
    <w:rsid w:val="00570F0A"/>
    <w:rsid w:val="00570F1B"/>
    <w:rsid w:val="0057141E"/>
    <w:rsid w:val="0057150F"/>
    <w:rsid w:val="0057166F"/>
    <w:rsid w:val="0057191A"/>
    <w:rsid w:val="00571984"/>
    <w:rsid w:val="005720D5"/>
    <w:rsid w:val="00572132"/>
    <w:rsid w:val="00572325"/>
    <w:rsid w:val="0057264A"/>
    <w:rsid w:val="0057269A"/>
    <w:rsid w:val="00572786"/>
    <w:rsid w:val="0057278B"/>
    <w:rsid w:val="00572904"/>
    <w:rsid w:val="005729C5"/>
    <w:rsid w:val="00572C44"/>
    <w:rsid w:val="00572CE3"/>
    <w:rsid w:val="00572F2A"/>
    <w:rsid w:val="0057312E"/>
    <w:rsid w:val="005734DD"/>
    <w:rsid w:val="00574594"/>
    <w:rsid w:val="005745E5"/>
    <w:rsid w:val="00574856"/>
    <w:rsid w:val="00574E92"/>
    <w:rsid w:val="00575028"/>
    <w:rsid w:val="00575055"/>
    <w:rsid w:val="005758B6"/>
    <w:rsid w:val="00575A69"/>
    <w:rsid w:val="00575A86"/>
    <w:rsid w:val="0057623C"/>
    <w:rsid w:val="0057639F"/>
    <w:rsid w:val="005763D4"/>
    <w:rsid w:val="00576673"/>
    <w:rsid w:val="00576BFD"/>
    <w:rsid w:val="0057713E"/>
    <w:rsid w:val="00577638"/>
    <w:rsid w:val="0057782C"/>
    <w:rsid w:val="005778DD"/>
    <w:rsid w:val="005778EA"/>
    <w:rsid w:val="00577F20"/>
    <w:rsid w:val="0058003C"/>
    <w:rsid w:val="005800A0"/>
    <w:rsid w:val="005802C1"/>
    <w:rsid w:val="00580585"/>
    <w:rsid w:val="005805A1"/>
    <w:rsid w:val="00580891"/>
    <w:rsid w:val="00580C6F"/>
    <w:rsid w:val="00580FC2"/>
    <w:rsid w:val="00581439"/>
    <w:rsid w:val="00581699"/>
    <w:rsid w:val="005819E3"/>
    <w:rsid w:val="00581BBE"/>
    <w:rsid w:val="00581CD7"/>
    <w:rsid w:val="005823F7"/>
    <w:rsid w:val="0058246B"/>
    <w:rsid w:val="00582869"/>
    <w:rsid w:val="00582898"/>
    <w:rsid w:val="00582A2E"/>
    <w:rsid w:val="00582A43"/>
    <w:rsid w:val="00582CBB"/>
    <w:rsid w:val="0058316F"/>
    <w:rsid w:val="00583411"/>
    <w:rsid w:val="0058385F"/>
    <w:rsid w:val="00583B04"/>
    <w:rsid w:val="00583BAA"/>
    <w:rsid w:val="00583D68"/>
    <w:rsid w:val="00583DD4"/>
    <w:rsid w:val="005840D3"/>
    <w:rsid w:val="005841E7"/>
    <w:rsid w:val="005845D7"/>
    <w:rsid w:val="00584677"/>
    <w:rsid w:val="0058483F"/>
    <w:rsid w:val="00584850"/>
    <w:rsid w:val="00584D9D"/>
    <w:rsid w:val="00584DA1"/>
    <w:rsid w:val="00584E91"/>
    <w:rsid w:val="00584F0D"/>
    <w:rsid w:val="0058506E"/>
    <w:rsid w:val="00585070"/>
    <w:rsid w:val="005852E2"/>
    <w:rsid w:val="005854AD"/>
    <w:rsid w:val="00585711"/>
    <w:rsid w:val="0058581F"/>
    <w:rsid w:val="00585845"/>
    <w:rsid w:val="00585854"/>
    <w:rsid w:val="00585905"/>
    <w:rsid w:val="00585911"/>
    <w:rsid w:val="00585949"/>
    <w:rsid w:val="00585A94"/>
    <w:rsid w:val="00585D8C"/>
    <w:rsid w:val="00585F0F"/>
    <w:rsid w:val="00586258"/>
    <w:rsid w:val="005865A2"/>
    <w:rsid w:val="005866BC"/>
    <w:rsid w:val="00586793"/>
    <w:rsid w:val="00586D10"/>
    <w:rsid w:val="00586D32"/>
    <w:rsid w:val="00586D4F"/>
    <w:rsid w:val="00586F3E"/>
    <w:rsid w:val="00586F53"/>
    <w:rsid w:val="00586FB5"/>
    <w:rsid w:val="00587212"/>
    <w:rsid w:val="00587806"/>
    <w:rsid w:val="00587B07"/>
    <w:rsid w:val="00587DB0"/>
    <w:rsid w:val="00587E91"/>
    <w:rsid w:val="005900BC"/>
    <w:rsid w:val="0059012D"/>
    <w:rsid w:val="00590345"/>
    <w:rsid w:val="005904E4"/>
    <w:rsid w:val="0059078D"/>
    <w:rsid w:val="00590AAE"/>
    <w:rsid w:val="0059119E"/>
    <w:rsid w:val="005912EC"/>
    <w:rsid w:val="00591311"/>
    <w:rsid w:val="00591630"/>
    <w:rsid w:val="00591F90"/>
    <w:rsid w:val="00592023"/>
    <w:rsid w:val="00592198"/>
    <w:rsid w:val="00592306"/>
    <w:rsid w:val="005924A3"/>
    <w:rsid w:val="00592657"/>
    <w:rsid w:val="00592725"/>
    <w:rsid w:val="00593540"/>
    <w:rsid w:val="005936BA"/>
    <w:rsid w:val="00593BE2"/>
    <w:rsid w:val="00593D58"/>
    <w:rsid w:val="0059405E"/>
    <w:rsid w:val="00594136"/>
    <w:rsid w:val="0059430F"/>
    <w:rsid w:val="00594D10"/>
    <w:rsid w:val="0059508F"/>
    <w:rsid w:val="00595167"/>
    <w:rsid w:val="00595535"/>
    <w:rsid w:val="00595FFC"/>
    <w:rsid w:val="00596320"/>
    <w:rsid w:val="00596BC8"/>
    <w:rsid w:val="00596E35"/>
    <w:rsid w:val="00596E4B"/>
    <w:rsid w:val="00596E73"/>
    <w:rsid w:val="0059701F"/>
    <w:rsid w:val="005971E7"/>
    <w:rsid w:val="00597329"/>
    <w:rsid w:val="005973B4"/>
    <w:rsid w:val="005A05E5"/>
    <w:rsid w:val="005A091F"/>
    <w:rsid w:val="005A09DB"/>
    <w:rsid w:val="005A0A6E"/>
    <w:rsid w:val="005A0E01"/>
    <w:rsid w:val="005A0F8F"/>
    <w:rsid w:val="005A1108"/>
    <w:rsid w:val="005A1116"/>
    <w:rsid w:val="005A1202"/>
    <w:rsid w:val="005A1244"/>
    <w:rsid w:val="005A155B"/>
    <w:rsid w:val="005A159D"/>
    <w:rsid w:val="005A1CAF"/>
    <w:rsid w:val="005A231A"/>
    <w:rsid w:val="005A2369"/>
    <w:rsid w:val="005A2637"/>
    <w:rsid w:val="005A26BC"/>
    <w:rsid w:val="005A28C6"/>
    <w:rsid w:val="005A2C1D"/>
    <w:rsid w:val="005A2C2B"/>
    <w:rsid w:val="005A2E0C"/>
    <w:rsid w:val="005A2E9F"/>
    <w:rsid w:val="005A3390"/>
    <w:rsid w:val="005A3745"/>
    <w:rsid w:val="005A3E76"/>
    <w:rsid w:val="005A40D3"/>
    <w:rsid w:val="005A4125"/>
    <w:rsid w:val="005A4148"/>
    <w:rsid w:val="005A4262"/>
    <w:rsid w:val="005A4277"/>
    <w:rsid w:val="005A42C9"/>
    <w:rsid w:val="005A444F"/>
    <w:rsid w:val="005A463A"/>
    <w:rsid w:val="005A475A"/>
    <w:rsid w:val="005A4A14"/>
    <w:rsid w:val="005A4CE0"/>
    <w:rsid w:val="005A4DDE"/>
    <w:rsid w:val="005A5009"/>
    <w:rsid w:val="005A5017"/>
    <w:rsid w:val="005A558F"/>
    <w:rsid w:val="005A560A"/>
    <w:rsid w:val="005A59B9"/>
    <w:rsid w:val="005A5A22"/>
    <w:rsid w:val="005A5AF3"/>
    <w:rsid w:val="005A5E0B"/>
    <w:rsid w:val="005A5EBF"/>
    <w:rsid w:val="005A5EE8"/>
    <w:rsid w:val="005A62BC"/>
    <w:rsid w:val="005A6312"/>
    <w:rsid w:val="005A6319"/>
    <w:rsid w:val="005A63A0"/>
    <w:rsid w:val="005A63A4"/>
    <w:rsid w:val="005A65B4"/>
    <w:rsid w:val="005A6B40"/>
    <w:rsid w:val="005A6D7A"/>
    <w:rsid w:val="005A6EA1"/>
    <w:rsid w:val="005A703C"/>
    <w:rsid w:val="005A704C"/>
    <w:rsid w:val="005A72DF"/>
    <w:rsid w:val="005A77F6"/>
    <w:rsid w:val="005A7FD3"/>
    <w:rsid w:val="005B01DB"/>
    <w:rsid w:val="005B050D"/>
    <w:rsid w:val="005B09D6"/>
    <w:rsid w:val="005B0EEC"/>
    <w:rsid w:val="005B0F52"/>
    <w:rsid w:val="005B1320"/>
    <w:rsid w:val="005B154B"/>
    <w:rsid w:val="005B159E"/>
    <w:rsid w:val="005B1A8F"/>
    <w:rsid w:val="005B1F5F"/>
    <w:rsid w:val="005B20C7"/>
    <w:rsid w:val="005B21A3"/>
    <w:rsid w:val="005B22B5"/>
    <w:rsid w:val="005B237E"/>
    <w:rsid w:val="005B23B3"/>
    <w:rsid w:val="005B2554"/>
    <w:rsid w:val="005B256E"/>
    <w:rsid w:val="005B2690"/>
    <w:rsid w:val="005B2770"/>
    <w:rsid w:val="005B2BB3"/>
    <w:rsid w:val="005B2C22"/>
    <w:rsid w:val="005B2DAE"/>
    <w:rsid w:val="005B2DDD"/>
    <w:rsid w:val="005B3302"/>
    <w:rsid w:val="005B33C3"/>
    <w:rsid w:val="005B33C5"/>
    <w:rsid w:val="005B346A"/>
    <w:rsid w:val="005B348D"/>
    <w:rsid w:val="005B36A3"/>
    <w:rsid w:val="005B3870"/>
    <w:rsid w:val="005B390D"/>
    <w:rsid w:val="005B3924"/>
    <w:rsid w:val="005B3DBE"/>
    <w:rsid w:val="005B3E85"/>
    <w:rsid w:val="005B3FFD"/>
    <w:rsid w:val="005B4134"/>
    <w:rsid w:val="005B4406"/>
    <w:rsid w:val="005B47E2"/>
    <w:rsid w:val="005B48D7"/>
    <w:rsid w:val="005B48F6"/>
    <w:rsid w:val="005B4D63"/>
    <w:rsid w:val="005B514C"/>
    <w:rsid w:val="005B5226"/>
    <w:rsid w:val="005B5302"/>
    <w:rsid w:val="005B5347"/>
    <w:rsid w:val="005B5B87"/>
    <w:rsid w:val="005B5CE3"/>
    <w:rsid w:val="005B5D32"/>
    <w:rsid w:val="005B5D6D"/>
    <w:rsid w:val="005B5D9C"/>
    <w:rsid w:val="005B5FEA"/>
    <w:rsid w:val="005B6055"/>
    <w:rsid w:val="005B605D"/>
    <w:rsid w:val="005B653E"/>
    <w:rsid w:val="005B65DF"/>
    <w:rsid w:val="005B6736"/>
    <w:rsid w:val="005B6BF5"/>
    <w:rsid w:val="005B6DAD"/>
    <w:rsid w:val="005B7227"/>
    <w:rsid w:val="005B7291"/>
    <w:rsid w:val="005B7810"/>
    <w:rsid w:val="005B790D"/>
    <w:rsid w:val="005B7B59"/>
    <w:rsid w:val="005B7B77"/>
    <w:rsid w:val="005B7E38"/>
    <w:rsid w:val="005B7E84"/>
    <w:rsid w:val="005C00CA"/>
    <w:rsid w:val="005C0111"/>
    <w:rsid w:val="005C02C2"/>
    <w:rsid w:val="005C045D"/>
    <w:rsid w:val="005C048A"/>
    <w:rsid w:val="005C067E"/>
    <w:rsid w:val="005C09B5"/>
    <w:rsid w:val="005C11E8"/>
    <w:rsid w:val="005C1481"/>
    <w:rsid w:val="005C16A2"/>
    <w:rsid w:val="005C1896"/>
    <w:rsid w:val="005C1A55"/>
    <w:rsid w:val="005C1B81"/>
    <w:rsid w:val="005C1DEC"/>
    <w:rsid w:val="005C2216"/>
    <w:rsid w:val="005C2606"/>
    <w:rsid w:val="005C2742"/>
    <w:rsid w:val="005C288E"/>
    <w:rsid w:val="005C28F4"/>
    <w:rsid w:val="005C2C98"/>
    <w:rsid w:val="005C2DFA"/>
    <w:rsid w:val="005C2E6F"/>
    <w:rsid w:val="005C307C"/>
    <w:rsid w:val="005C34B3"/>
    <w:rsid w:val="005C3675"/>
    <w:rsid w:val="005C39E2"/>
    <w:rsid w:val="005C3C58"/>
    <w:rsid w:val="005C3D2E"/>
    <w:rsid w:val="005C3D3B"/>
    <w:rsid w:val="005C4310"/>
    <w:rsid w:val="005C4347"/>
    <w:rsid w:val="005C482B"/>
    <w:rsid w:val="005C4D01"/>
    <w:rsid w:val="005C4DF0"/>
    <w:rsid w:val="005C4E76"/>
    <w:rsid w:val="005C5006"/>
    <w:rsid w:val="005C5147"/>
    <w:rsid w:val="005C549D"/>
    <w:rsid w:val="005C5684"/>
    <w:rsid w:val="005C56D0"/>
    <w:rsid w:val="005C5942"/>
    <w:rsid w:val="005C5CCE"/>
    <w:rsid w:val="005C5F0B"/>
    <w:rsid w:val="005C631D"/>
    <w:rsid w:val="005C64A2"/>
    <w:rsid w:val="005C68CA"/>
    <w:rsid w:val="005C68E5"/>
    <w:rsid w:val="005C6965"/>
    <w:rsid w:val="005C6A01"/>
    <w:rsid w:val="005C6B80"/>
    <w:rsid w:val="005C6C33"/>
    <w:rsid w:val="005C6E8B"/>
    <w:rsid w:val="005C70F5"/>
    <w:rsid w:val="005C79FA"/>
    <w:rsid w:val="005C7F71"/>
    <w:rsid w:val="005D00B0"/>
    <w:rsid w:val="005D0164"/>
    <w:rsid w:val="005D0294"/>
    <w:rsid w:val="005D05CB"/>
    <w:rsid w:val="005D069A"/>
    <w:rsid w:val="005D0AA9"/>
    <w:rsid w:val="005D1077"/>
    <w:rsid w:val="005D1282"/>
    <w:rsid w:val="005D15A0"/>
    <w:rsid w:val="005D1743"/>
    <w:rsid w:val="005D1BEA"/>
    <w:rsid w:val="005D1D42"/>
    <w:rsid w:val="005D20D1"/>
    <w:rsid w:val="005D21FB"/>
    <w:rsid w:val="005D27F2"/>
    <w:rsid w:val="005D28B6"/>
    <w:rsid w:val="005D28F7"/>
    <w:rsid w:val="005D2C77"/>
    <w:rsid w:val="005D2E0F"/>
    <w:rsid w:val="005D2FBA"/>
    <w:rsid w:val="005D31FF"/>
    <w:rsid w:val="005D322D"/>
    <w:rsid w:val="005D3440"/>
    <w:rsid w:val="005D35E2"/>
    <w:rsid w:val="005D376C"/>
    <w:rsid w:val="005D3BB6"/>
    <w:rsid w:val="005D41AC"/>
    <w:rsid w:val="005D41D5"/>
    <w:rsid w:val="005D424C"/>
    <w:rsid w:val="005D43FF"/>
    <w:rsid w:val="005D456B"/>
    <w:rsid w:val="005D47F4"/>
    <w:rsid w:val="005D4A0B"/>
    <w:rsid w:val="005D4B7A"/>
    <w:rsid w:val="005D4ED1"/>
    <w:rsid w:val="005D5091"/>
    <w:rsid w:val="005D5449"/>
    <w:rsid w:val="005D5706"/>
    <w:rsid w:val="005D5800"/>
    <w:rsid w:val="005D5D00"/>
    <w:rsid w:val="005D5E29"/>
    <w:rsid w:val="005D60FD"/>
    <w:rsid w:val="005D63EC"/>
    <w:rsid w:val="005D67CA"/>
    <w:rsid w:val="005D69F2"/>
    <w:rsid w:val="005D6A78"/>
    <w:rsid w:val="005D6B5A"/>
    <w:rsid w:val="005D7759"/>
    <w:rsid w:val="005D7B95"/>
    <w:rsid w:val="005D7F86"/>
    <w:rsid w:val="005D7FCC"/>
    <w:rsid w:val="005E011C"/>
    <w:rsid w:val="005E04EB"/>
    <w:rsid w:val="005E07B3"/>
    <w:rsid w:val="005E0AF4"/>
    <w:rsid w:val="005E0CFA"/>
    <w:rsid w:val="005E111D"/>
    <w:rsid w:val="005E12C2"/>
    <w:rsid w:val="005E143B"/>
    <w:rsid w:val="005E155A"/>
    <w:rsid w:val="005E16E5"/>
    <w:rsid w:val="005E1833"/>
    <w:rsid w:val="005E1842"/>
    <w:rsid w:val="005E1857"/>
    <w:rsid w:val="005E1A86"/>
    <w:rsid w:val="005E1DDD"/>
    <w:rsid w:val="005E200A"/>
    <w:rsid w:val="005E2365"/>
    <w:rsid w:val="005E2403"/>
    <w:rsid w:val="005E27A5"/>
    <w:rsid w:val="005E2DF6"/>
    <w:rsid w:val="005E3332"/>
    <w:rsid w:val="005E33AE"/>
    <w:rsid w:val="005E3413"/>
    <w:rsid w:val="005E353E"/>
    <w:rsid w:val="005E369F"/>
    <w:rsid w:val="005E36FC"/>
    <w:rsid w:val="005E3B15"/>
    <w:rsid w:val="005E41F1"/>
    <w:rsid w:val="005E4512"/>
    <w:rsid w:val="005E4CC1"/>
    <w:rsid w:val="005E4CED"/>
    <w:rsid w:val="005E5655"/>
    <w:rsid w:val="005E592C"/>
    <w:rsid w:val="005E5A94"/>
    <w:rsid w:val="005E5CA9"/>
    <w:rsid w:val="005E604D"/>
    <w:rsid w:val="005E63FD"/>
    <w:rsid w:val="005E6472"/>
    <w:rsid w:val="005E64D4"/>
    <w:rsid w:val="005E675B"/>
    <w:rsid w:val="005E6C45"/>
    <w:rsid w:val="005E6DEF"/>
    <w:rsid w:val="005E6F6F"/>
    <w:rsid w:val="005E7542"/>
    <w:rsid w:val="005E75D7"/>
    <w:rsid w:val="005E7601"/>
    <w:rsid w:val="005E769E"/>
    <w:rsid w:val="005E79A1"/>
    <w:rsid w:val="005E7AAE"/>
    <w:rsid w:val="005E7D1D"/>
    <w:rsid w:val="005E7E68"/>
    <w:rsid w:val="005E7F30"/>
    <w:rsid w:val="005F006D"/>
    <w:rsid w:val="005F09EB"/>
    <w:rsid w:val="005F0E94"/>
    <w:rsid w:val="005F1079"/>
    <w:rsid w:val="005F1678"/>
    <w:rsid w:val="005F16AA"/>
    <w:rsid w:val="005F1752"/>
    <w:rsid w:val="005F175F"/>
    <w:rsid w:val="005F17B7"/>
    <w:rsid w:val="005F1878"/>
    <w:rsid w:val="005F1C15"/>
    <w:rsid w:val="005F1DA3"/>
    <w:rsid w:val="005F22C4"/>
    <w:rsid w:val="005F23B3"/>
    <w:rsid w:val="005F2571"/>
    <w:rsid w:val="005F25C0"/>
    <w:rsid w:val="005F277F"/>
    <w:rsid w:val="005F27AE"/>
    <w:rsid w:val="005F2834"/>
    <w:rsid w:val="005F2A3E"/>
    <w:rsid w:val="005F2CAD"/>
    <w:rsid w:val="005F324E"/>
    <w:rsid w:val="005F3583"/>
    <w:rsid w:val="005F3608"/>
    <w:rsid w:val="005F36B6"/>
    <w:rsid w:val="005F39B8"/>
    <w:rsid w:val="005F39BF"/>
    <w:rsid w:val="005F3DCC"/>
    <w:rsid w:val="005F4431"/>
    <w:rsid w:val="005F4789"/>
    <w:rsid w:val="005F5215"/>
    <w:rsid w:val="005F5373"/>
    <w:rsid w:val="005F5440"/>
    <w:rsid w:val="005F549D"/>
    <w:rsid w:val="005F54C7"/>
    <w:rsid w:val="005F557B"/>
    <w:rsid w:val="005F58BB"/>
    <w:rsid w:val="005F59A4"/>
    <w:rsid w:val="005F5D77"/>
    <w:rsid w:val="005F634E"/>
    <w:rsid w:val="005F65C8"/>
    <w:rsid w:val="005F660C"/>
    <w:rsid w:val="005F67DC"/>
    <w:rsid w:val="005F6AF2"/>
    <w:rsid w:val="005F6B41"/>
    <w:rsid w:val="005F6C55"/>
    <w:rsid w:val="005F73E4"/>
    <w:rsid w:val="005F7993"/>
    <w:rsid w:val="005F7C0B"/>
    <w:rsid w:val="005F7CA1"/>
    <w:rsid w:val="00600239"/>
    <w:rsid w:val="006003DC"/>
    <w:rsid w:val="006009BD"/>
    <w:rsid w:val="00600A59"/>
    <w:rsid w:val="00600BA7"/>
    <w:rsid w:val="00600CA0"/>
    <w:rsid w:val="00600CBC"/>
    <w:rsid w:val="00600D41"/>
    <w:rsid w:val="00601114"/>
    <w:rsid w:val="006011D6"/>
    <w:rsid w:val="0060120C"/>
    <w:rsid w:val="006017A7"/>
    <w:rsid w:val="006017FE"/>
    <w:rsid w:val="006019F7"/>
    <w:rsid w:val="00601B58"/>
    <w:rsid w:val="00601BF6"/>
    <w:rsid w:val="00601D59"/>
    <w:rsid w:val="006021F3"/>
    <w:rsid w:val="00602376"/>
    <w:rsid w:val="006028D3"/>
    <w:rsid w:val="006028F5"/>
    <w:rsid w:val="00602FF3"/>
    <w:rsid w:val="0060336F"/>
    <w:rsid w:val="00603DC8"/>
    <w:rsid w:val="00603F6C"/>
    <w:rsid w:val="00603FA1"/>
    <w:rsid w:val="006041A3"/>
    <w:rsid w:val="00604366"/>
    <w:rsid w:val="006046FB"/>
    <w:rsid w:val="00604C21"/>
    <w:rsid w:val="00605151"/>
    <w:rsid w:val="006051F0"/>
    <w:rsid w:val="00605245"/>
    <w:rsid w:val="00605682"/>
    <w:rsid w:val="006059C8"/>
    <w:rsid w:val="00605AD0"/>
    <w:rsid w:val="00605BF4"/>
    <w:rsid w:val="00606182"/>
    <w:rsid w:val="00606497"/>
    <w:rsid w:val="006064B5"/>
    <w:rsid w:val="0060669F"/>
    <w:rsid w:val="006067EE"/>
    <w:rsid w:val="0060689E"/>
    <w:rsid w:val="00606A8C"/>
    <w:rsid w:val="00606C73"/>
    <w:rsid w:val="00606D08"/>
    <w:rsid w:val="00606D4D"/>
    <w:rsid w:val="00607149"/>
    <w:rsid w:val="00607315"/>
    <w:rsid w:val="00607350"/>
    <w:rsid w:val="00607AFC"/>
    <w:rsid w:val="00607FEE"/>
    <w:rsid w:val="0061064D"/>
    <w:rsid w:val="00610739"/>
    <w:rsid w:val="0061090B"/>
    <w:rsid w:val="00610A13"/>
    <w:rsid w:val="00610B29"/>
    <w:rsid w:val="00610B3F"/>
    <w:rsid w:val="00610E7C"/>
    <w:rsid w:val="00610FCB"/>
    <w:rsid w:val="0061143E"/>
    <w:rsid w:val="006114B5"/>
    <w:rsid w:val="00611521"/>
    <w:rsid w:val="006115A3"/>
    <w:rsid w:val="006124B3"/>
    <w:rsid w:val="0061285D"/>
    <w:rsid w:val="00612902"/>
    <w:rsid w:val="00612A86"/>
    <w:rsid w:val="00612CC6"/>
    <w:rsid w:val="00612F42"/>
    <w:rsid w:val="0061301A"/>
    <w:rsid w:val="00613316"/>
    <w:rsid w:val="006136AC"/>
    <w:rsid w:val="00613C9C"/>
    <w:rsid w:val="00614255"/>
    <w:rsid w:val="006148F5"/>
    <w:rsid w:val="00614AAD"/>
    <w:rsid w:val="00614F60"/>
    <w:rsid w:val="00615397"/>
    <w:rsid w:val="00615528"/>
    <w:rsid w:val="00615594"/>
    <w:rsid w:val="006166D0"/>
    <w:rsid w:val="00616CAB"/>
    <w:rsid w:val="00616CD1"/>
    <w:rsid w:val="00616D83"/>
    <w:rsid w:val="00616E44"/>
    <w:rsid w:val="006172AF"/>
    <w:rsid w:val="00617EE7"/>
    <w:rsid w:val="00617F3A"/>
    <w:rsid w:val="006203FA"/>
    <w:rsid w:val="00620B27"/>
    <w:rsid w:val="00620D60"/>
    <w:rsid w:val="0062125C"/>
    <w:rsid w:val="006216B9"/>
    <w:rsid w:val="00621896"/>
    <w:rsid w:val="00621DC4"/>
    <w:rsid w:val="00622332"/>
    <w:rsid w:val="00622731"/>
    <w:rsid w:val="0062275D"/>
    <w:rsid w:val="00622AA4"/>
    <w:rsid w:val="00622D85"/>
    <w:rsid w:val="00622E4B"/>
    <w:rsid w:val="00622EEF"/>
    <w:rsid w:val="00622FCA"/>
    <w:rsid w:val="0062300E"/>
    <w:rsid w:val="0062327A"/>
    <w:rsid w:val="00623347"/>
    <w:rsid w:val="0062356D"/>
    <w:rsid w:val="00623795"/>
    <w:rsid w:val="00623C9F"/>
    <w:rsid w:val="00623CC7"/>
    <w:rsid w:val="00623CFF"/>
    <w:rsid w:val="00623D57"/>
    <w:rsid w:val="00623E3C"/>
    <w:rsid w:val="00623FCA"/>
    <w:rsid w:val="00624020"/>
    <w:rsid w:val="006243F5"/>
    <w:rsid w:val="0062445E"/>
    <w:rsid w:val="006247D9"/>
    <w:rsid w:val="006249A8"/>
    <w:rsid w:val="00624B92"/>
    <w:rsid w:val="00624D53"/>
    <w:rsid w:val="00625209"/>
    <w:rsid w:val="0062529F"/>
    <w:rsid w:val="0062537F"/>
    <w:rsid w:val="006255E5"/>
    <w:rsid w:val="006258A5"/>
    <w:rsid w:val="00625F33"/>
    <w:rsid w:val="00626088"/>
    <w:rsid w:val="00626122"/>
    <w:rsid w:val="00626300"/>
    <w:rsid w:val="006263A9"/>
    <w:rsid w:val="006264E5"/>
    <w:rsid w:val="006264F8"/>
    <w:rsid w:val="0062651B"/>
    <w:rsid w:val="00626554"/>
    <w:rsid w:val="00626567"/>
    <w:rsid w:val="006266CB"/>
    <w:rsid w:val="00626DC0"/>
    <w:rsid w:val="006278DF"/>
    <w:rsid w:val="00627AD7"/>
    <w:rsid w:val="00627C84"/>
    <w:rsid w:val="006306C4"/>
    <w:rsid w:val="006306F2"/>
    <w:rsid w:val="00630997"/>
    <w:rsid w:val="00630BDC"/>
    <w:rsid w:val="00630C97"/>
    <w:rsid w:val="006311E7"/>
    <w:rsid w:val="00631609"/>
    <w:rsid w:val="006319ED"/>
    <w:rsid w:val="00631C01"/>
    <w:rsid w:val="00631C65"/>
    <w:rsid w:val="00631E15"/>
    <w:rsid w:val="00631EB7"/>
    <w:rsid w:val="00632EF4"/>
    <w:rsid w:val="00632F6C"/>
    <w:rsid w:val="006330F4"/>
    <w:rsid w:val="006331F1"/>
    <w:rsid w:val="006334AE"/>
    <w:rsid w:val="00633551"/>
    <w:rsid w:val="0063369D"/>
    <w:rsid w:val="006337C9"/>
    <w:rsid w:val="00633CB8"/>
    <w:rsid w:val="00633CD7"/>
    <w:rsid w:val="00633D7F"/>
    <w:rsid w:val="00633F58"/>
    <w:rsid w:val="00633F5B"/>
    <w:rsid w:val="00633FEA"/>
    <w:rsid w:val="006343ED"/>
    <w:rsid w:val="00634A75"/>
    <w:rsid w:val="006351DF"/>
    <w:rsid w:val="006351EB"/>
    <w:rsid w:val="00635461"/>
    <w:rsid w:val="00635646"/>
    <w:rsid w:val="0063595B"/>
    <w:rsid w:val="00635C84"/>
    <w:rsid w:val="00635D95"/>
    <w:rsid w:val="0063601E"/>
    <w:rsid w:val="006369F4"/>
    <w:rsid w:val="00636BBE"/>
    <w:rsid w:val="00636E79"/>
    <w:rsid w:val="00637333"/>
    <w:rsid w:val="00637437"/>
    <w:rsid w:val="006376FE"/>
    <w:rsid w:val="006379C6"/>
    <w:rsid w:val="00637CE2"/>
    <w:rsid w:val="00637D6B"/>
    <w:rsid w:val="00637E87"/>
    <w:rsid w:val="0064008E"/>
    <w:rsid w:val="00640910"/>
    <w:rsid w:val="00640A8B"/>
    <w:rsid w:val="00640B50"/>
    <w:rsid w:val="006410C4"/>
    <w:rsid w:val="00641512"/>
    <w:rsid w:val="0064172A"/>
    <w:rsid w:val="00641780"/>
    <w:rsid w:val="00641789"/>
    <w:rsid w:val="00641A21"/>
    <w:rsid w:val="00641AD1"/>
    <w:rsid w:val="00641B3C"/>
    <w:rsid w:val="00641B84"/>
    <w:rsid w:val="00641CA8"/>
    <w:rsid w:val="00641E58"/>
    <w:rsid w:val="00641F5B"/>
    <w:rsid w:val="0064201C"/>
    <w:rsid w:val="006420B3"/>
    <w:rsid w:val="006420E6"/>
    <w:rsid w:val="006422A0"/>
    <w:rsid w:val="006424D9"/>
    <w:rsid w:val="00642549"/>
    <w:rsid w:val="00642ADB"/>
    <w:rsid w:val="0064337D"/>
    <w:rsid w:val="00643745"/>
    <w:rsid w:val="006439AB"/>
    <w:rsid w:val="00643A99"/>
    <w:rsid w:val="00643CEB"/>
    <w:rsid w:val="00644695"/>
    <w:rsid w:val="0064473E"/>
    <w:rsid w:val="0064490E"/>
    <w:rsid w:val="00644A36"/>
    <w:rsid w:val="00644F60"/>
    <w:rsid w:val="0064516A"/>
    <w:rsid w:val="006454F5"/>
    <w:rsid w:val="006455CD"/>
    <w:rsid w:val="00645715"/>
    <w:rsid w:val="00645899"/>
    <w:rsid w:val="00645949"/>
    <w:rsid w:val="006459CB"/>
    <w:rsid w:val="00645B05"/>
    <w:rsid w:val="00645DCE"/>
    <w:rsid w:val="006463E2"/>
    <w:rsid w:val="00646418"/>
    <w:rsid w:val="006465C2"/>
    <w:rsid w:val="00646882"/>
    <w:rsid w:val="00646895"/>
    <w:rsid w:val="00646ECD"/>
    <w:rsid w:val="00646FD2"/>
    <w:rsid w:val="00647031"/>
    <w:rsid w:val="0064797A"/>
    <w:rsid w:val="00647C94"/>
    <w:rsid w:val="0065004E"/>
    <w:rsid w:val="006500A9"/>
    <w:rsid w:val="00650363"/>
    <w:rsid w:val="006506B9"/>
    <w:rsid w:val="0065090E"/>
    <w:rsid w:val="00650B44"/>
    <w:rsid w:val="00650D20"/>
    <w:rsid w:val="00650D21"/>
    <w:rsid w:val="00650DC5"/>
    <w:rsid w:val="00650F67"/>
    <w:rsid w:val="0065104E"/>
    <w:rsid w:val="006514CC"/>
    <w:rsid w:val="00651597"/>
    <w:rsid w:val="00651753"/>
    <w:rsid w:val="006517A2"/>
    <w:rsid w:val="006517CA"/>
    <w:rsid w:val="00651A48"/>
    <w:rsid w:val="00651A76"/>
    <w:rsid w:val="00651C4C"/>
    <w:rsid w:val="00651F40"/>
    <w:rsid w:val="006521E3"/>
    <w:rsid w:val="00652514"/>
    <w:rsid w:val="00652606"/>
    <w:rsid w:val="00652628"/>
    <w:rsid w:val="00652833"/>
    <w:rsid w:val="006528E1"/>
    <w:rsid w:val="0065295C"/>
    <w:rsid w:val="00652965"/>
    <w:rsid w:val="00652A0D"/>
    <w:rsid w:val="00652ADF"/>
    <w:rsid w:val="00652CB2"/>
    <w:rsid w:val="00652ECD"/>
    <w:rsid w:val="00652F8A"/>
    <w:rsid w:val="006530F0"/>
    <w:rsid w:val="006532FA"/>
    <w:rsid w:val="00653384"/>
    <w:rsid w:val="006533E8"/>
    <w:rsid w:val="006534E2"/>
    <w:rsid w:val="0065366F"/>
    <w:rsid w:val="00653A6E"/>
    <w:rsid w:val="00653AED"/>
    <w:rsid w:val="00653CA3"/>
    <w:rsid w:val="00653E06"/>
    <w:rsid w:val="006540CB"/>
    <w:rsid w:val="00654123"/>
    <w:rsid w:val="0065434D"/>
    <w:rsid w:val="006545F9"/>
    <w:rsid w:val="00654FC2"/>
    <w:rsid w:val="00654FE0"/>
    <w:rsid w:val="0065514E"/>
    <w:rsid w:val="006556B1"/>
    <w:rsid w:val="00655704"/>
    <w:rsid w:val="00655741"/>
    <w:rsid w:val="00655AFE"/>
    <w:rsid w:val="00655D4F"/>
    <w:rsid w:val="00656658"/>
    <w:rsid w:val="00656F5F"/>
    <w:rsid w:val="00656FBD"/>
    <w:rsid w:val="0065730F"/>
    <w:rsid w:val="0065737F"/>
    <w:rsid w:val="006574BE"/>
    <w:rsid w:val="00657BD6"/>
    <w:rsid w:val="00657D11"/>
    <w:rsid w:val="00660091"/>
    <w:rsid w:val="006600AB"/>
    <w:rsid w:val="006603E0"/>
    <w:rsid w:val="006609F4"/>
    <w:rsid w:val="00660EA9"/>
    <w:rsid w:val="00661619"/>
    <w:rsid w:val="0066195D"/>
    <w:rsid w:val="00661A74"/>
    <w:rsid w:val="00661AAE"/>
    <w:rsid w:val="00661FC9"/>
    <w:rsid w:val="00662171"/>
    <w:rsid w:val="0066275D"/>
    <w:rsid w:val="006628EE"/>
    <w:rsid w:val="00662923"/>
    <w:rsid w:val="00662BA0"/>
    <w:rsid w:val="00662C20"/>
    <w:rsid w:val="00662E03"/>
    <w:rsid w:val="006633C4"/>
    <w:rsid w:val="006635D0"/>
    <w:rsid w:val="00663730"/>
    <w:rsid w:val="006645F0"/>
    <w:rsid w:val="00664B9F"/>
    <w:rsid w:val="00664EB3"/>
    <w:rsid w:val="0066502E"/>
    <w:rsid w:val="00665575"/>
    <w:rsid w:val="006656B7"/>
    <w:rsid w:val="006657CC"/>
    <w:rsid w:val="006658EC"/>
    <w:rsid w:val="00665A61"/>
    <w:rsid w:val="00665D45"/>
    <w:rsid w:val="00666341"/>
    <w:rsid w:val="0066637A"/>
    <w:rsid w:val="0066652B"/>
    <w:rsid w:val="006665BA"/>
    <w:rsid w:val="00666729"/>
    <w:rsid w:val="00666ACF"/>
    <w:rsid w:val="00666DC2"/>
    <w:rsid w:val="00666E2A"/>
    <w:rsid w:val="00666E34"/>
    <w:rsid w:val="00667183"/>
    <w:rsid w:val="00667431"/>
    <w:rsid w:val="0066790B"/>
    <w:rsid w:val="00667A77"/>
    <w:rsid w:val="00667B60"/>
    <w:rsid w:val="00667F50"/>
    <w:rsid w:val="00670608"/>
    <w:rsid w:val="006706D3"/>
    <w:rsid w:val="00670960"/>
    <w:rsid w:val="00670A4E"/>
    <w:rsid w:val="00670AFC"/>
    <w:rsid w:val="0067127B"/>
    <w:rsid w:val="00671414"/>
    <w:rsid w:val="006714ED"/>
    <w:rsid w:val="006715EA"/>
    <w:rsid w:val="006719C7"/>
    <w:rsid w:val="00671A03"/>
    <w:rsid w:val="00671D23"/>
    <w:rsid w:val="00671D62"/>
    <w:rsid w:val="00671E0C"/>
    <w:rsid w:val="006722B8"/>
    <w:rsid w:val="006723DB"/>
    <w:rsid w:val="00672546"/>
    <w:rsid w:val="006725D5"/>
    <w:rsid w:val="0067279B"/>
    <w:rsid w:val="00672865"/>
    <w:rsid w:val="006728C6"/>
    <w:rsid w:val="006729CA"/>
    <w:rsid w:val="00672E4F"/>
    <w:rsid w:val="0067315B"/>
    <w:rsid w:val="006734C2"/>
    <w:rsid w:val="00673613"/>
    <w:rsid w:val="00673637"/>
    <w:rsid w:val="006739F8"/>
    <w:rsid w:val="00673DC7"/>
    <w:rsid w:val="00674287"/>
    <w:rsid w:val="006748FB"/>
    <w:rsid w:val="006749C9"/>
    <w:rsid w:val="00674C43"/>
    <w:rsid w:val="0067500D"/>
    <w:rsid w:val="00675091"/>
    <w:rsid w:val="00675927"/>
    <w:rsid w:val="00675BED"/>
    <w:rsid w:val="0067610A"/>
    <w:rsid w:val="0067626C"/>
    <w:rsid w:val="006763CA"/>
    <w:rsid w:val="00676A0F"/>
    <w:rsid w:val="00676D2A"/>
    <w:rsid w:val="00676DE5"/>
    <w:rsid w:val="00676E74"/>
    <w:rsid w:val="00676F9C"/>
    <w:rsid w:val="006772CA"/>
    <w:rsid w:val="006778DE"/>
    <w:rsid w:val="00677930"/>
    <w:rsid w:val="00677D80"/>
    <w:rsid w:val="0068077B"/>
    <w:rsid w:val="0068098E"/>
    <w:rsid w:val="00680AD7"/>
    <w:rsid w:val="00680F81"/>
    <w:rsid w:val="00680F94"/>
    <w:rsid w:val="00681066"/>
    <w:rsid w:val="0068122C"/>
    <w:rsid w:val="006814EC"/>
    <w:rsid w:val="006817D3"/>
    <w:rsid w:val="0068181B"/>
    <w:rsid w:val="00681B0E"/>
    <w:rsid w:val="00681EED"/>
    <w:rsid w:val="00681FCF"/>
    <w:rsid w:val="00682088"/>
    <w:rsid w:val="006821A5"/>
    <w:rsid w:val="006821A9"/>
    <w:rsid w:val="00682498"/>
    <w:rsid w:val="00682736"/>
    <w:rsid w:val="00682DD7"/>
    <w:rsid w:val="00682F1C"/>
    <w:rsid w:val="0068304F"/>
    <w:rsid w:val="00683909"/>
    <w:rsid w:val="00683B20"/>
    <w:rsid w:val="00683C0E"/>
    <w:rsid w:val="00683CA3"/>
    <w:rsid w:val="00683E57"/>
    <w:rsid w:val="00683EDD"/>
    <w:rsid w:val="00684022"/>
    <w:rsid w:val="00684177"/>
    <w:rsid w:val="006842C5"/>
    <w:rsid w:val="00684735"/>
    <w:rsid w:val="00684D01"/>
    <w:rsid w:val="006852C2"/>
    <w:rsid w:val="006853B9"/>
    <w:rsid w:val="006858BF"/>
    <w:rsid w:val="006858E4"/>
    <w:rsid w:val="0068590C"/>
    <w:rsid w:val="00685956"/>
    <w:rsid w:val="00685D2B"/>
    <w:rsid w:val="006862DF"/>
    <w:rsid w:val="00686485"/>
    <w:rsid w:val="0068689F"/>
    <w:rsid w:val="00686990"/>
    <w:rsid w:val="00686993"/>
    <w:rsid w:val="00686D42"/>
    <w:rsid w:val="0068701F"/>
    <w:rsid w:val="00687121"/>
    <w:rsid w:val="0068719A"/>
    <w:rsid w:val="0068720B"/>
    <w:rsid w:val="0068746E"/>
    <w:rsid w:val="00687669"/>
    <w:rsid w:val="0068788A"/>
    <w:rsid w:val="0068796C"/>
    <w:rsid w:val="00687AA1"/>
    <w:rsid w:val="00687CB9"/>
    <w:rsid w:val="00687E1A"/>
    <w:rsid w:val="006902A7"/>
    <w:rsid w:val="00690778"/>
    <w:rsid w:val="00690EE6"/>
    <w:rsid w:val="0069116A"/>
    <w:rsid w:val="006912FF"/>
    <w:rsid w:val="006914A1"/>
    <w:rsid w:val="00691E5D"/>
    <w:rsid w:val="00691F36"/>
    <w:rsid w:val="0069226B"/>
    <w:rsid w:val="00692392"/>
    <w:rsid w:val="0069241A"/>
    <w:rsid w:val="006924DB"/>
    <w:rsid w:val="006925AA"/>
    <w:rsid w:val="006926D5"/>
    <w:rsid w:val="0069270D"/>
    <w:rsid w:val="00692C76"/>
    <w:rsid w:val="00693013"/>
    <w:rsid w:val="006937AB"/>
    <w:rsid w:val="006939C3"/>
    <w:rsid w:val="00693A1A"/>
    <w:rsid w:val="00693E97"/>
    <w:rsid w:val="00694912"/>
    <w:rsid w:val="006949B8"/>
    <w:rsid w:val="006949DE"/>
    <w:rsid w:val="00694A09"/>
    <w:rsid w:val="00694B40"/>
    <w:rsid w:val="00695274"/>
    <w:rsid w:val="0069595B"/>
    <w:rsid w:val="006959CF"/>
    <w:rsid w:val="00695B0A"/>
    <w:rsid w:val="00695FBF"/>
    <w:rsid w:val="00695FD5"/>
    <w:rsid w:val="0069631E"/>
    <w:rsid w:val="00696446"/>
    <w:rsid w:val="0069651F"/>
    <w:rsid w:val="0069662E"/>
    <w:rsid w:val="00696F2C"/>
    <w:rsid w:val="0069713A"/>
    <w:rsid w:val="0069766F"/>
    <w:rsid w:val="0069792E"/>
    <w:rsid w:val="00697BF1"/>
    <w:rsid w:val="006A0072"/>
    <w:rsid w:val="006A00B1"/>
    <w:rsid w:val="006A0314"/>
    <w:rsid w:val="006A031E"/>
    <w:rsid w:val="006A032C"/>
    <w:rsid w:val="006A080E"/>
    <w:rsid w:val="006A0D5F"/>
    <w:rsid w:val="006A190D"/>
    <w:rsid w:val="006A1B6C"/>
    <w:rsid w:val="006A1C46"/>
    <w:rsid w:val="006A1C7C"/>
    <w:rsid w:val="006A1DC1"/>
    <w:rsid w:val="006A1FF8"/>
    <w:rsid w:val="006A263D"/>
    <w:rsid w:val="006A305F"/>
    <w:rsid w:val="006A31F2"/>
    <w:rsid w:val="006A34F4"/>
    <w:rsid w:val="006A35B7"/>
    <w:rsid w:val="006A38BB"/>
    <w:rsid w:val="006A3937"/>
    <w:rsid w:val="006A3E0F"/>
    <w:rsid w:val="006A443C"/>
    <w:rsid w:val="006A4527"/>
    <w:rsid w:val="006A4737"/>
    <w:rsid w:val="006A4AE2"/>
    <w:rsid w:val="006A4EC1"/>
    <w:rsid w:val="006A50E8"/>
    <w:rsid w:val="006A50F7"/>
    <w:rsid w:val="006A5154"/>
    <w:rsid w:val="006A5385"/>
    <w:rsid w:val="006A55D2"/>
    <w:rsid w:val="006A5770"/>
    <w:rsid w:val="006A58E6"/>
    <w:rsid w:val="006A5B1A"/>
    <w:rsid w:val="006A5C89"/>
    <w:rsid w:val="006A5C95"/>
    <w:rsid w:val="006A5DE9"/>
    <w:rsid w:val="006A5E8E"/>
    <w:rsid w:val="006A62D2"/>
    <w:rsid w:val="006A6374"/>
    <w:rsid w:val="006A63CC"/>
    <w:rsid w:val="006A642A"/>
    <w:rsid w:val="006A72E5"/>
    <w:rsid w:val="006A7774"/>
    <w:rsid w:val="006A77AF"/>
    <w:rsid w:val="006A79AF"/>
    <w:rsid w:val="006A7A4D"/>
    <w:rsid w:val="006A7DCC"/>
    <w:rsid w:val="006A7E42"/>
    <w:rsid w:val="006B0036"/>
    <w:rsid w:val="006B008B"/>
    <w:rsid w:val="006B0447"/>
    <w:rsid w:val="006B05D4"/>
    <w:rsid w:val="006B098D"/>
    <w:rsid w:val="006B09A4"/>
    <w:rsid w:val="006B11BB"/>
    <w:rsid w:val="006B18D0"/>
    <w:rsid w:val="006B1C25"/>
    <w:rsid w:val="006B1CF8"/>
    <w:rsid w:val="006B1D35"/>
    <w:rsid w:val="006B1D48"/>
    <w:rsid w:val="006B1E57"/>
    <w:rsid w:val="006B2439"/>
    <w:rsid w:val="006B254B"/>
    <w:rsid w:val="006B26F3"/>
    <w:rsid w:val="006B2737"/>
    <w:rsid w:val="006B2778"/>
    <w:rsid w:val="006B2905"/>
    <w:rsid w:val="006B2A7D"/>
    <w:rsid w:val="006B2DB1"/>
    <w:rsid w:val="006B2E1B"/>
    <w:rsid w:val="006B3073"/>
    <w:rsid w:val="006B3249"/>
    <w:rsid w:val="006B328C"/>
    <w:rsid w:val="006B34FF"/>
    <w:rsid w:val="006B353C"/>
    <w:rsid w:val="006B379C"/>
    <w:rsid w:val="006B38BB"/>
    <w:rsid w:val="006B38D7"/>
    <w:rsid w:val="006B3BFF"/>
    <w:rsid w:val="006B3DCD"/>
    <w:rsid w:val="006B4223"/>
    <w:rsid w:val="006B4277"/>
    <w:rsid w:val="006B4390"/>
    <w:rsid w:val="006B4CAE"/>
    <w:rsid w:val="006B4F8D"/>
    <w:rsid w:val="006B54AC"/>
    <w:rsid w:val="006B5829"/>
    <w:rsid w:val="006B5934"/>
    <w:rsid w:val="006B5A85"/>
    <w:rsid w:val="006B5AD3"/>
    <w:rsid w:val="006B5C88"/>
    <w:rsid w:val="006B5D86"/>
    <w:rsid w:val="006B5FBF"/>
    <w:rsid w:val="006B62A8"/>
    <w:rsid w:val="006B62F0"/>
    <w:rsid w:val="006B6348"/>
    <w:rsid w:val="006B64B1"/>
    <w:rsid w:val="006B64B7"/>
    <w:rsid w:val="006B65DC"/>
    <w:rsid w:val="006B671C"/>
    <w:rsid w:val="006B68C8"/>
    <w:rsid w:val="006B6CFE"/>
    <w:rsid w:val="006B6DF0"/>
    <w:rsid w:val="006B6EAC"/>
    <w:rsid w:val="006B724F"/>
    <w:rsid w:val="006B7F93"/>
    <w:rsid w:val="006C0078"/>
    <w:rsid w:val="006C0299"/>
    <w:rsid w:val="006C0620"/>
    <w:rsid w:val="006C0726"/>
    <w:rsid w:val="006C0A6D"/>
    <w:rsid w:val="006C0ACB"/>
    <w:rsid w:val="006C0B37"/>
    <w:rsid w:val="006C0F6F"/>
    <w:rsid w:val="006C11F6"/>
    <w:rsid w:val="006C17F3"/>
    <w:rsid w:val="006C1932"/>
    <w:rsid w:val="006C19CC"/>
    <w:rsid w:val="006C1C56"/>
    <w:rsid w:val="006C1E44"/>
    <w:rsid w:val="006C1EFD"/>
    <w:rsid w:val="006C25F1"/>
    <w:rsid w:val="006C26F3"/>
    <w:rsid w:val="006C282A"/>
    <w:rsid w:val="006C2846"/>
    <w:rsid w:val="006C2B11"/>
    <w:rsid w:val="006C2BFF"/>
    <w:rsid w:val="006C2C47"/>
    <w:rsid w:val="006C2D18"/>
    <w:rsid w:val="006C3149"/>
    <w:rsid w:val="006C31A6"/>
    <w:rsid w:val="006C3262"/>
    <w:rsid w:val="006C350D"/>
    <w:rsid w:val="006C375F"/>
    <w:rsid w:val="006C3993"/>
    <w:rsid w:val="006C3DA2"/>
    <w:rsid w:val="006C3DC3"/>
    <w:rsid w:val="006C4059"/>
    <w:rsid w:val="006C40E2"/>
    <w:rsid w:val="006C4163"/>
    <w:rsid w:val="006C483B"/>
    <w:rsid w:val="006C491F"/>
    <w:rsid w:val="006C4A33"/>
    <w:rsid w:val="006C4AE7"/>
    <w:rsid w:val="006C4B1D"/>
    <w:rsid w:val="006C4B81"/>
    <w:rsid w:val="006C503A"/>
    <w:rsid w:val="006C5728"/>
    <w:rsid w:val="006C58AB"/>
    <w:rsid w:val="006C597B"/>
    <w:rsid w:val="006C5A18"/>
    <w:rsid w:val="006C5A47"/>
    <w:rsid w:val="006C5AB4"/>
    <w:rsid w:val="006C5CBD"/>
    <w:rsid w:val="006C5DF2"/>
    <w:rsid w:val="006C5E9E"/>
    <w:rsid w:val="006C6113"/>
    <w:rsid w:val="006C61CC"/>
    <w:rsid w:val="006C6488"/>
    <w:rsid w:val="006C68CA"/>
    <w:rsid w:val="006C69BE"/>
    <w:rsid w:val="006C6B15"/>
    <w:rsid w:val="006C6B58"/>
    <w:rsid w:val="006C6DB0"/>
    <w:rsid w:val="006C7204"/>
    <w:rsid w:val="006C722A"/>
    <w:rsid w:val="006C72C6"/>
    <w:rsid w:val="006C732A"/>
    <w:rsid w:val="006C765D"/>
    <w:rsid w:val="006C779C"/>
    <w:rsid w:val="006C78E5"/>
    <w:rsid w:val="006C7BE0"/>
    <w:rsid w:val="006D0673"/>
    <w:rsid w:val="006D0936"/>
    <w:rsid w:val="006D099E"/>
    <w:rsid w:val="006D0C7A"/>
    <w:rsid w:val="006D0CA4"/>
    <w:rsid w:val="006D0DEA"/>
    <w:rsid w:val="006D107F"/>
    <w:rsid w:val="006D12CA"/>
    <w:rsid w:val="006D12D8"/>
    <w:rsid w:val="006D13F3"/>
    <w:rsid w:val="006D156E"/>
    <w:rsid w:val="006D18B2"/>
    <w:rsid w:val="006D1EE8"/>
    <w:rsid w:val="006D1F0E"/>
    <w:rsid w:val="006D2021"/>
    <w:rsid w:val="006D23EB"/>
    <w:rsid w:val="006D23FC"/>
    <w:rsid w:val="006D24B0"/>
    <w:rsid w:val="006D27DA"/>
    <w:rsid w:val="006D2ADA"/>
    <w:rsid w:val="006D307C"/>
    <w:rsid w:val="006D3239"/>
    <w:rsid w:val="006D3246"/>
    <w:rsid w:val="006D3289"/>
    <w:rsid w:val="006D38B9"/>
    <w:rsid w:val="006D3A3F"/>
    <w:rsid w:val="006D3E88"/>
    <w:rsid w:val="006D42BD"/>
    <w:rsid w:val="006D435D"/>
    <w:rsid w:val="006D43A0"/>
    <w:rsid w:val="006D47BC"/>
    <w:rsid w:val="006D4867"/>
    <w:rsid w:val="006D4AA3"/>
    <w:rsid w:val="006D4CC3"/>
    <w:rsid w:val="006D4D6C"/>
    <w:rsid w:val="006D5116"/>
    <w:rsid w:val="006D5288"/>
    <w:rsid w:val="006D55EB"/>
    <w:rsid w:val="006D5666"/>
    <w:rsid w:val="006D5C4A"/>
    <w:rsid w:val="006D5DC4"/>
    <w:rsid w:val="006D6279"/>
    <w:rsid w:val="006D6478"/>
    <w:rsid w:val="006D6794"/>
    <w:rsid w:val="006D69EF"/>
    <w:rsid w:val="006D6D08"/>
    <w:rsid w:val="006D7061"/>
    <w:rsid w:val="006D712F"/>
    <w:rsid w:val="006D7130"/>
    <w:rsid w:val="006D7619"/>
    <w:rsid w:val="006D7738"/>
    <w:rsid w:val="006D77A8"/>
    <w:rsid w:val="006D77D4"/>
    <w:rsid w:val="006D78FD"/>
    <w:rsid w:val="006D7D4E"/>
    <w:rsid w:val="006E00B3"/>
    <w:rsid w:val="006E036E"/>
    <w:rsid w:val="006E0585"/>
    <w:rsid w:val="006E05D5"/>
    <w:rsid w:val="006E0823"/>
    <w:rsid w:val="006E0834"/>
    <w:rsid w:val="006E09C8"/>
    <w:rsid w:val="006E09EE"/>
    <w:rsid w:val="006E0CC2"/>
    <w:rsid w:val="006E110A"/>
    <w:rsid w:val="006E13D1"/>
    <w:rsid w:val="006E1894"/>
    <w:rsid w:val="006E18C2"/>
    <w:rsid w:val="006E1911"/>
    <w:rsid w:val="006E1EF3"/>
    <w:rsid w:val="006E1F7C"/>
    <w:rsid w:val="006E24E9"/>
    <w:rsid w:val="006E268E"/>
    <w:rsid w:val="006E26B1"/>
    <w:rsid w:val="006E2769"/>
    <w:rsid w:val="006E2847"/>
    <w:rsid w:val="006E2E37"/>
    <w:rsid w:val="006E31BF"/>
    <w:rsid w:val="006E331F"/>
    <w:rsid w:val="006E3471"/>
    <w:rsid w:val="006E384A"/>
    <w:rsid w:val="006E394E"/>
    <w:rsid w:val="006E3B1F"/>
    <w:rsid w:val="006E3DCD"/>
    <w:rsid w:val="006E3F1F"/>
    <w:rsid w:val="006E3F30"/>
    <w:rsid w:val="006E3F57"/>
    <w:rsid w:val="006E45D3"/>
    <w:rsid w:val="006E46BB"/>
    <w:rsid w:val="006E49FD"/>
    <w:rsid w:val="006E4CC7"/>
    <w:rsid w:val="006E4E67"/>
    <w:rsid w:val="006E5167"/>
    <w:rsid w:val="006E52BB"/>
    <w:rsid w:val="006E53BF"/>
    <w:rsid w:val="006E5520"/>
    <w:rsid w:val="006E5A74"/>
    <w:rsid w:val="006E5DE7"/>
    <w:rsid w:val="006E5DED"/>
    <w:rsid w:val="006E5E31"/>
    <w:rsid w:val="006E5F4E"/>
    <w:rsid w:val="006E60F6"/>
    <w:rsid w:val="006E6181"/>
    <w:rsid w:val="006E643F"/>
    <w:rsid w:val="006E680C"/>
    <w:rsid w:val="006E6C50"/>
    <w:rsid w:val="006E6D8A"/>
    <w:rsid w:val="006E7527"/>
    <w:rsid w:val="006E75D4"/>
    <w:rsid w:val="006E7902"/>
    <w:rsid w:val="006F0094"/>
    <w:rsid w:val="006F01E8"/>
    <w:rsid w:val="006F0252"/>
    <w:rsid w:val="006F04B3"/>
    <w:rsid w:val="006F04B7"/>
    <w:rsid w:val="006F0583"/>
    <w:rsid w:val="006F0804"/>
    <w:rsid w:val="006F094C"/>
    <w:rsid w:val="006F112A"/>
    <w:rsid w:val="006F11BA"/>
    <w:rsid w:val="006F156B"/>
    <w:rsid w:val="006F1972"/>
    <w:rsid w:val="006F1B65"/>
    <w:rsid w:val="006F1B79"/>
    <w:rsid w:val="006F1B97"/>
    <w:rsid w:val="006F1F30"/>
    <w:rsid w:val="006F1F7C"/>
    <w:rsid w:val="006F24DB"/>
    <w:rsid w:val="006F2860"/>
    <w:rsid w:val="006F2CA5"/>
    <w:rsid w:val="006F2E1C"/>
    <w:rsid w:val="006F2EDC"/>
    <w:rsid w:val="006F3279"/>
    <w:rsid w:val="006F33C0"/>
    <w:rsid w:val="006F34D3"/>
    <w:rsid w:val="006F3748"/>
    <w:rsid w:val="006F3B71"/>
    <w:rsid w:val="006F3F26"/>
    <w:rsid w:val="006F3F42"/>
    <w:rsid w:val="006F3FA2"/>
    <w:rsid w:val="006F400F"/>
    <w:rsid w:val="006F443E"/>
    <w:rsid w:val="006F44EB"/>
    <w:rsid w:val="006F47FA"/>
    <w:rsid w:val="006F4A86"/>
    <w:rsid w:val="006F4C2F"/>
    <w:rsid w:val="006F4C89"/>
    <w:rsid w:val="006F4DDB"/>
    <w:rsid w:val="006F4E79"/>
    <w:rsid w:val="006F4F5B"/>
    <w:rsid w:val="006F4F6F"/>
    <w:rsid w:val="006F50C2"/>
    <w:rsid w:val="006F536D"/>
    <w:rsid w:val="006F5A0B"/>
    <w:rsid w:val="006F5AD9"/>
    <w:rsid w:val="006F5C3D"/>
    <w:rsid w:val="006F5DF5"/>
    <w:rsid w:val="006F5F3F"/>
    <w:rsid w:val="006F60C7"/>
    <w:rsid w:val="006F671A"/>
    <w:rsid w:val="006F6972"/>
    <w:rsid w:val="006F6EB8"/>
    <w:rsid w:val="006F7766"/>
    <w:rsid w:val="006F790B"/>
    <w:rsid w:val="006F798A"/>
    <w:rsid w:val="006F7BA1"/>
    <w:rsid w:val="006F7F8B"/>
    <w:rsid w:val="0070003D"/>
    <w:rsid w:val="007000A3"/>
    <w:rsid w:val="00700198"/>
    <w:rsid w:val="007001B6"/>
    <w:rsid w:val="0070020F"/>
    <w:rsid w:val="0070029A"/>
    <w:rsid w:val="007002F5"/>
    <w:rsid w:val="007003CC"/>
    <w:rsid w:val="00700421"/>
    <w:rsid w:val="00700423"/>
    <w:rsid w:val="007004D7"/>
    <w:rsid w:val="00700581"/>
    <w:rsid w:val="007006A9"/>
    <w:rsid w:val="007007DE"/>
    <w:rsid w:val="00700972"/>
    <w:rsid w:val="00700A91"/>
    <w:rsid w:val="00700F7C"/>
    <w:rsid w:val="007012D8"/>
    <w:rsid w:val="0070163B"/>
    <w:rsid w:val="00701A1D"/>
    <w:rsid w:val="00701BB4"/>
    <w:rsid w:val="00701C1A"/>
    <w:rsid w:val="00701CB0"/>
    <w:rsid w:val="007021A4"/>
    <w:rsid w:val="007023CF"/>
    <w:rsid w:val="00702456"/>
    <w:rsid w:val="0070251A"/>
    <w:rsid w:val="00702A80"/>
    <w:rsid w:val="00702DD1"/>
    <w:rsid w:val="00702E83"/>
    <w:rsid w:val="00703151"/>
    <w:rsid w:val="0070390E"/>
    <w:rsid w:val="00703915"/>
    <w:rsid w:val="00703EA4"/>
    <w:rsid w:val="00703F04"/>
    <w:rsid w:val="00704196"/>
    <w:rsid w:val="0070470A"/>
    <w:rsid w:val="007049F4"/>
    <w:rsid w:val="00704B47"/>
    <w:rsid w:val="00704E3D"/>
    <w:rsid w:val="00704E40"/>
    <w:rsid w:val="00704FA6"/>
    <w:rsid w:val="007054CF"/>
    <w:rsid w:val="00705713"/>
    <w:rsid w:val="00705913"/>
    <w:rsid w:val="00705ADA"/>
    <w:rsid w:val="00705B5C"/>
    <w:rsid w:val="00705ED3"/>
    <w:rsid w:val="007062F9"/>
    <w:rsid w:val="007067D3"/>
    <w:rsid w:val="007069F7"/>
    <w:rsid w:val="00706AFC"/>
    <w:rsid w:val="00706F5E"/>
    <w:rsid w:val="00706F92"/>
    <w:rsid w:val="00707063"/>
    <w:rsid w:val="0070727E"/>
    <w:rsid w:val="00707B20"/>
    <w:rsid w:val="00710321"/>
    <w:rsid w:val="00710494"/>
    <w:rsid w:val="007107E5"/>
    <w:rsid w:val="00710883"/>
    <w:rsid w:val="007109CB"/>
    <w:rsid w:val="00710B24"/>
    <w:rsid w:val="00710B41"/>
    <w:rsid w:val="00710C68"/>
    <w:rsid w:val="007117E3"/>
    <w:rsid w:val="007118C2"/>
    <w:rsid w:val="00711DD1"/>
    <w:rsid w:val="00711EC6"/>
    <w:rsid w:val="0071204D"/>
    <w:rsid w:val="007124EF"/>
    <w:rsid w:val="007127AD"/>
    <w:rsid w:val="007127F1"/>
    <w:rsid w:val="00712928"/>
    <w:rsid w:val="007129D1"/>
    <w:rsid w:val="007129DC"/>
    <w:rsid w:val="00712C1F"/>
    <w:rsid w:val="00712C6E"/>
    <w:rsid w:val="00712CB3"/>
    <w:rsid w:val="00712EEF"/>
    <w:rsid w:val="00712F1E"/>
    <w:rsid w:val="00712F73"/>
    <w:rsid w:val="00712FEB"/>
    <w:rsid w:val="007130DB"/>
    <w:rsid w:val="0071328C"/>
    <w:rsid w:val="00713510"/>
    <w:rsid w:val="00713A80"/>
    <w:rsid w:val="00713CBE"/>
    <w:rsid w:val="00713CDA"/>
    <w:rsid w:val="00713EFA"/>
    <w:rsid w:val="0071406C"/>
    <w:rsid w:val="00714202"/>
    <w:rsid w:val="00714974"/>
    <w:rsid w:val="00714E3B"/>
    <w:rsid w:val="00714FB5"/>
    <w:rsid w:val="0071520D"/>
    <w:rsid w:val="00715A2F"/>
    <w:rsid w:val="00715FDB"/>
    <w:rsid w:val="0071624F"/>
    <w:rsid w:val="007164C0"/>
    <w:rsid w:val="007165FF"/>
    <w:rsid w:val="00716956"/>
    <w:rsid w:val="00716AA8"/>
    <w:rsid w:val="00716D6E"/>
    <w:rsid w:val="0071705C"/>
    <w:rsid w:val="007170B5"/>
    <w:rsid w:val="0071713C"/>
    <w:rsid w:val="007173B1"/>
    <w:rsid w:val="0072011F"/>
    <w:rsid w:val="00720401"/>
    <w:rsid w:val="0072044A"/>
    <w:rsid w:val="00720769"/>
    <w:rsid w:val="00720784"/>
    <w:rsid w:val="007207D1"/>
    <w:rsid w:val="00720A7E"/>
    <w:rsid w:val="00720F0F"/>
    <w:rsid w:val="00721024"/>
    <w:rsid w:val="0072106D"/>
    <w:rsid w:val="0072110D"/>
    <w:rsid w:val="0072149F"/>
    <w:rsid w:val="007216AF"/>
    <w:rsid w:val="0072194C"/>
    <w:rsid w:val="00721B90"/>
    <w:rsid w:val="00721C44"/>
    <w:rsid w:val="00721C76"/>
    <w:rsid w:val="00721D16"/>
    <w:rsid w:val="00721E94"/>
    <w:rsid w:val="00721EDA"/>
    <w:rsid w:val="007221AE"/>
    <w:rsid w:val="00722385"/>
    <w:rsid w:val="007225F9"/>
    <w:rsid w:val="007227A2"/>
    <w:rsid w:val="0072286D"/>
    <w:rsid w:val="00722DF9"/>
    <w:rsid w:val="00722EF0"/>
    <w:rsid w:val="007233B8"/>
    <w:rsid w:val="007233E3"/>
    <w:rsid w:val="00723587"/>
    <w:rsid w:val="0072358F"/>
    <w:rsid w:val="00723753"/>
    <w:rsid w:val="007239C0"/>
    <w:rsid w:val="00723A3B"/>
    <w:rsid w:val="00723CB5"/>
    <w:rsid w:val="00723D5F"/>
    <w:rsid w:val="00723E26"/>
    <w:rsid w:val="00723E68"/>
    <w:rsid w:val="00723F32"/>
    <w:rsid w:val="007240AC"/>
    <w:rsid w:val="0072439E"/>
    <w:rsid w:val="007243C9"/>
    <w:rsid w:val="0072447C"/>
    <w:rsid w:val="00724BC3"/>
    <w:rsid w:val="00724C40"/>
    <w:rsid w:val="00724D14"/>
    <w:rsid w:val="00724E0B"/>
    <w:rsid w:val="00724E42"/>
    <w:rsid w:val="00724E5B"/>
    <w:rsid w:val="0072551C"/>
    <w:rsid w:val="007255EF"/>
    <w:rsid w:val="00725796"/>
    <w:rsid w:val="00725EBB"/>
    <w:rsid w:val="00725EEB"/>
    <w:rsid w:val="00725F2F"/>
    <w:rsid w:val="00725FDD"/>
    <w:rsid w:val="007261F4"/>
    <w:rsid w:val="00726242"/>
    <w:rsid w:val="007262E7"/>
    <w:rsid w:val="0072641E"/>
    <w:rsid w:val="007267E0"/>
    <w:rsid w:val="00726883"/>
    <w:rsid w:val="00726CFE"/>
    <w:rsid w:val="00726EE0"/>
    <w:rsid w:val="00726F3C"/>
    <w:rsid w:val="00726F74"/>
    <w:rsid w:val="0072707C"/>
    <w:rsid w:val="00727415"/>
    <w:rsid w:val="007276E4"/>
    <w:rsid w:val="00727C15"/>
    <w:rsid w:val="00727F1E"/>
    <w:rsid w:val="0073079E"/>
    <w:rsid w:val="00730946"/>
    <w:rsid w:val="00730C84"/>
    <w:rsid w:val="007310BC"/>
    <w:rsid w:val="007310EF"/>
    <w:rsid w:val="00731125"/>
    <w:rsid w:val="00731920"/>
    <w:rsid w:val="00731EB1"/>
    <w:rsid w:val="00731F4B"/>
    <w:rsid w:val="00731FCF"/>
    <w:rsid w:val="0073225D"/>
    <w:rsid w:val="0073233E"/>
    <w:rsid w:val="00732683"/>
    <w:rsid w:val="007329DF"/>
    <w:rsid w:val="00732BDB"/>
    <w:rsid w:val="00732CCB"/>
    <w:rsid w:val="00732F72"/>
    <w:rsid w:val="00733546"/>
    <w:rsid w:val="0073356C"/>
    <w:rsid w:val="007335D2"/>
    <w:rsid w:val="007338CE"/>
    <w:rsid w:val="00733EB1"/>
    <w:rsid w:val="007341A0"/>
    <w:rsid w:val="00734225"/>
    <w:rsid w:val="007342E3"/>
    <w:rsid w:val="007344F2"/>
    <w:rsid w:val="0073459F"/>
    <w:rsid w:val="0073468C"/>
    <w:rsid w:val="00734770"/>
    <w:rsid w:val="00734BFD"/>
    <w:rsid w:val="00734D31"/>
    <w:rsid w:val="00734F02"/>
    <w:rsid w:val="00734F49"/>
    <w:rsid w:val="00735128"/>
    <w:rsid w:val="007353F6"/>
    <w:rsid w:val="00735748"/>
    <w:rsid w:val="007357F4"/>
    <w:rsid w:val="00735826"/>
    <w:rsid w:val="007358CE"/>
    <w:rsid w:val="00735AC7"/>
    <w:rsid w:val="00735BBD"/>
    <w:rsid w:val="00735D31"/>
    <w:rsid w:val="0073616D"/>
    <w:rsid w:val="00736433"/>
    <w:rsid w:val="00736548"/>
    <w:rsid w:val="0073664A"/>
    <w:rsid w:val="00736753"/>
    <w:rsid w:val="00736779"/>
    <w:rsid w:val="007367BC"/>
    <w:rsid w:val="007369DB"/>
    <w:rsid w:val="007369E6"/>
    <w:rsid w:val="007369EB"/>
    <w:rsid w:val="00736AB6"/>
    <w:rsid w:val="00736B76"/>
    <w:rsid w:val="00736D7D"/>
    <w:rsid w:val="00737221"/>
    <w:rsid w:val="0073745C"/>
    <w:rsid w:val="007374F8"/>
    <w:rsid w:val="007378ED"/>
    <w:rsid w:val="00737B7B"/>
    <w:rsid w:val="00737DCB"/>
    <w:rsid w:val="00737E33"/>
    <w:rsid w:val="00740181"/>
    <w:rsid w:val="00740193"/>
    <w:rsid w:val="007404B2"/>
    <w:rsid w:val="007406B0"/>
    <w:rsid w:val="00740AB7"/>
    <w:rsid w:val="00740BCD"/>
    <w:rsid w:val="00740DAA"/>
    <w:rsid w:val="00740EF6"/>
    <w:rsid w:val="00740EFF"/>
    <w:rsid w:val="00740FDD"/>
    <w:rsid w:val="00741097"/>
    <w:rsid w:val="00741602"/>
    <w:rsid w:val="00741759"/>
    <w:rsid w:val="007418BF"/>
    <w:rsid w:val="00741BE7"/>
    <w:rsid w:val="00741C78"/>
    <w:rsid w:val="00741EA1"/>
    <w:rsid w:val="00742029"/>
    <w:rsid w:val="007423D0"/>
    <w:rsid w:val="007424BC"/>
    <w:rsid w:val="00742864"/>
    <w:rsid w:val="00742ECF"/>
    <w:rsid w:val="0074302E"/>
    <w:rsid w:val="00743097"/>
    <w:rsid w:val="00743461"/>
    <w:rsid w:val="0074350E"/>
    <w:rsid w:val="007435A8"/>
    <w:rsid w:val="00743C9C"/>
    <w:rsid w:val="00743F06"/>
    <w:rsid w:val="00743F0E"/>
    <w:rsid w:val="007441CF"/>
    <w:rsid w:val="00744647"/>
    <w:rsid w:val="00744747"/>
    <w:rsid w:val="007447F9"/>
    <w:rsid w:val="0074482F"/>
    <w:rsid w:val="007448F8"/>
    <w:rsid w:val="00744BCA"/>
    <w:rsid w:val="00744C1E"/>
    <w:rsid w:val="00744CF6"/>
    <w:rsid w:val="00744D3D"/>
    <w:rsid w:val="00744DE4"/>
    <w:rsid w:val="00744EBE"/>
    <w:rsid w:val="007453E6"/>
    <w:rsid w:val="00745449"/>
    <w:rsid w:val="0074577F"/>
    <w:rsid w:val="007457B3"/>
    <w:rsid w:val="00745ACB"/>
    <w:rsid w:val="00745ECC"/>
    <w:rsid w:val="0074617E"/>
    <w:rsid w:val="00746715"/>
    <w:rsid w:val="00746B61"/>
    <w:rsid w:val="00746D8B"/>
    <w:rsid w:val="00746E72"/>
    <w:rsid w:val="00747017"/>
    <w:rsid w:val="0074725B"/>
    <w:rsid w:val="00747BB0"/>
    <w:rsid w:val="00747BD1"/>
    <w:rsid w:val="00747C2D"/>
    <w:rsid w:val="00747F22"/>
    <w:rsid w:val="007500CA"/>
    <w:rsid w:val="00750537"/>
    <w:rsid w:val="0075055A"/>
    <w:rsid w:val="00750962"/>
    <w:rsid w:val="00750AE6"/>
    <w:rsid w:val="00750B96"/>
    <w:rsid w:val="00750C32"/>
    <w:rsid w:val="00750E68"/>
    <w:rsid w:val="0075110D"/>
    <w:rsid w:val="0075128A"/>
    <w:rsid w:val="00751373"/>
    <w:rsid w:val="0075142C"/>
    <w:rsid w:val="00751468"/>
    <w:rsid w:val="007516EA"/>
    <w:rsid w:val="007517A4"/>
    <w:rsid w:val="00751A7C"/>
    <w:rsid w:val="00751C87"/>
    <w:rsid w:val="00751CB9"/>
    <w:rsid w:val="00751DD7"/>
    <w:rsid w:val="0075210A"/>
    <w:rsid w:val="007525E5"/>
    <w:rsid w:val="0075298D"/>
    <w:rsid w:val="007529AA"/>
    <w:rsid w:val="00752A1A"/>
    <w:rsid w:val="00752E50"/>
    <w:rsid w:val="007530E5"/>
    <w:rsid w:val="0075327E"/>
    <w:rsid w:val="007532CC"/>
    <w:rsid w:val="00753441"/>
    <w:rsid w:val="007534D7"/>
    <w:rsid w:val="007536BC"/>
    <w:rsid w:val="007536D3"/>
    <w:rsid w:val="00753AF0"/>
    <w:rsid w:val="00753F26"/>
    <w:rsid w:val="00753FE8"/>
    <w:rsid w:val="007542A4"/>
    <w:rsid w:val="007542F4"/>
    <w:rsid w:val="0075444D"/>
    <w:rsid w:val="007545AB"/>
    <w:rsid w:val="00754960"/>
    <w:rsid w:val="00754D6E"/>
    <w:rsid w:val="00754E3D"/>
    <w:rsid w:val="00755192"/>
    <w:rsid w:val="00755459"/>
    <w:rsid w:val="00755533"/>
    <w:rsid w:val="007557E7"/>
    <w:rsid w:val="00755FF3"/>
    <w:rsid w:val="007560C3"/>
    <w:rsid w:val="007560ED"/>
    <w:rsid w:val="0075645B"/>
    <w:rsid w:val="007564BF"/>
    <w:rsid w:val="00756593"/>
    <w:rsid w:val="00756757"/>
    <w:rsid w:val="007569F3"/>
    <w:rsid w:val="00756BA1"/>
    <w:rsid w:val="00756D96"/>
    <w:rsid w:val="00757081"/>
    <w:rsid w:val="007571CE"/>
    <w:rsid w:val="007576FC"/>
    <w:rsid w:val="0075785F"/>
    <w:rsid w:val="00757AC2"/>
    <w:rsid w:val="00760300"/>
    <w:rsid w:val="007603BD"/>
    <w:rsid w:val="007606CE"/>
    <w:rsid w:val="00760BA9"/>
    <w:rsid w:val="00760BAF"/>
    <w:rsid w:val="00760D54"/>
    <w:rsid w:val="00760E24"/>
    <w:rsid w:val="007619FA"/>
    <w:rsid w:val="00762055"/>
    <w:rsid w:val="0076224A"/>
    <w:rsid w:val="00762882"/>
    <w:rsid w:val="007628CA"/>
    <w:rsid w:val="00762A97"/>
    <w:rsid w:val="00763281"/>
    <w:rsid w:val="007632EF"/>
    <w:rsid w:val="00763395"/>
    <w:rsid w:val="00763574"/>
    <w:rsid w:val="00763659"/>
    <w:rsid w:val="0076390D"/>
    <w:rsid w:val="00763DED"/>
    <w:rsid w:val="00763F51"/>
    <w:rsid w:val="00764227"/>
    <w:rsid w:val="00764375"/>
    <w:rsid w:val="0076455F"/>
    <w:rsid w:val="00764811"/>
    <w:rsid w:val="00764B30"/>
    <w:rsid w:val="00764D7A"/>
    <w:rsid w:val="0076502F"/>
    <w:rsid w:val="00765267"/>
    <w:rsid w:val="007652D9"/>
    <w:rsid w:val="00765391"/>
    <w:rsid w:val="007654E7"/>
    <w:rsid w:val="007655F3"/>
    <w:rsid w:val="00765B5E"/>
    <w:rsid w:val="00765D23"/>
    <w:rsid w:val="007660FA"/>
    <w:rsid w:val="007666E5"/>
    <w:rsid w:val="00766BAA"/>
    <w:rsid w:val="00766C16"/>
    <w:rsid w:val="00767331"/>
    <w:rsid w:val="00767362"/>
    <w:rsid w:val="00767725"/>
    <w:rsid w:val="007679EA"/>
    <w:rsid w:val="00767B2F"/>
    <w:rsid w:val="00767B6D"/>
    <w:rsid w:val="00767C07"/>
    <w:rsid w:val="00767D6B"/>
    <w:rsid w:val="00767E38"/>
    <w:rsid w:val="0077054D"/>
    <w:rsid w:val="007706F0"/>
    <w:rsid w:val="007709C4"/>
    <w:rsid w:val="00770BB3"/>
    <w:rsid w:val="00770CA7"/>
    <w:rsid w:val="00770ED7"/>
    <w:rsid w:val="00770F3D"/>
    <w:rsid w:val="00770F80"/>
    <w:rsid w:val="00771051"/>
    <w:rsid w:val="007713C7"/>
    <w:rsid w:val="007714B0"/>
    <w:rsid w:val="007714DC"/>
    <w:rsid w:val="00771605"/>
    <w:rsid w:val="007718B1"/>
    <w:rsid w:val="007719D1"/>
    <w:rsid w:val="00771B0E"/>
    <w:rsid w:val="00771CB1"/>
    <w:rsid w:val="00772097"/>
    <w:rsid w:val="0077250D"/>
    <w:rsid w:val="00772857"/>
    <w:rsid w:val="00772A80"/>
    <w:rsid w:val="00772AAA"/>
    <w:rsid w:val="00772C1C"/>
    <w:rsid w:val="00772D87"/>
    <w:rsid w:val="007732CC"/>
    <w:rsid w:val="00773351"/>
    <w:rsid w:val="007734DD"/>
    <w:rsid w:val="007735C8"/>
    <w:rsid w:val="00773903"/>
    <w:rsid w:val="00773E29"/>
    <w:rsid w:val="00773EA8"/>
    <w:rsid w:val="00774639"/>
    <w:rsid w:val="00774890"/>
    <w:rsid w:val="00774895"/>
    <w:rsid w:val="00774908"/>
    <w:rsid w:val="00774930"/>
    <w:rsid w:val="00774AE4"/>
    <w:rsid w:val="00774B96"/>
    <w:rsid w:val="00775494"/>
    <w:rsid w:val="0077554E"/>
    <w:rsid w:val="0077566E"/>
    <w:rsid w:val="007756D4"/>
    <w:rsid w:val="00775B64"/>
    <w:rsid w:val="00775EDD"/>
    <w:rsid w:val="00775F3A"/>
    <w:rsid w:val="007761E9"/>
    <w:rsid w:val="0077623A"/>
    <w:rsid w:val="007766F0"/>
    <w:rsid w:val="00776B55"/>
    <w:rsid w:val="00776BF2"/>
    <w:rsid w:val="00776CD5"/>
    <w:rsid w:val="00777215"/>
    <w:rsid w:val="0077740F"/>
    <w:rsid w:val="007774C5"/>
    <w:rsid w:val="0077767B"/>
    <w:rsid w:val="007776F2"/>
    <w:rsid w:val="00777870"/>
    <w:rsid w:val="007778DF"/>
    <w:rsid w:val="0077790A"/>
    <w:rsid w:val="0077793F"/>
    <w:rsid w:val="00777DEC"/>
    <w:rsid w:val="007806F4"/>
    <w:rsid w:val="00780717"/>
    <w:rsid w:val="007808ED"/>
    <w:rsid w:val="00780A21"/>
    <w:rsid w:val="00780A35"/>
    <w:rsid w:val="00780D59"/>
    <w:rsid w:val="007811FE"/>
    <w:rsid w:val="007815EC"/>
    <w:rsid w:val="0078175E"/>
    <w:rsid w:val="00781F40"/>
    <w:rsid w:val="00781F7F"/>
    <w:rsid w:val="007826F8"/>
    <w:rsid w:val="00782981"/>
    <w:rsid w:val="00782A3B"/>
    <w:rsid w:val="00782A41"/>
    <w:rsid w:val="00782D78"/>
    <w:rsid w:val="00782D9F"/>
    <w:rsid w:val="00783136"/>
    <w:rsid w:val="007833C9"/>
    <w:rsid w:val="007834C9"/>
    <w:rsid w:val="0078456E"/>
    <w:rsid w:val="00784703"/>
    <w:rsid w:val="00784937"/>
    <w:rsid w:val="00784B75"/>
    <w:rsid w:val="007854CA"/>
    <w:rsid w:val="00785568"/>
    <w:rsid w:val="0078572F"/>
    <w:rsid w:val="007859C6"/>
    <w:rsid w:val="007859CD"/>
    <w:rsid w:val="00785ACD"/>
    <w:rsid w:val="00785C0A"/>
    <w:rsid w:val="00785CFC"/>
    <w:rsid w:val="00785E64"/>
    <w:rsid w:val="00785F17"/>
    <w:rsid w:val="00785FDA"/>
    <w:rsid w:val="007860FD"/>
    <w:rsid w:val="00786429"/>
    <w:rsid w:val="007868D3"/>
    <w:rsid w:val="00786A32"/>
    <w:rsid w:val="007871EA"/>
    <w:rsid w:val="007873C9"/>
    <w:rsid w:val="007874E4"/>
    <w:rsid w:val="00787727"/>
    <w:rsid w:val="00787CD2"/>
    <w:rsid w:val="00787CFD"/>
    <w:rsid w:val="00787EC9"/>
    <w:rsid w:val="007900C5"/>
    <w:rsid w:val="00790141"/>
    <w:rsid w:val="00790268"/>
    <w:rsid w:val="00790372"/>
    <w:rsid w:val="00790742"/>
    <w:rsid w:val="00790E35"/>
    <w:rsid w:val="00790F89"/>
    <w:rsid w:val="00791579"/>
    <w:rsid w:val="0079176E"/>
    <w:rsid w:val="00791B68"/>
    <w:rsid w:val="00791B70"/>
    <w:rsid w:val="00791D0F"/>
    <w:rsid w:val="00791D60"/>
    <w:rsid w:val="00791D75"/>
    <w:rsid w:val="0079207E"/>
    <w:rsid w:val="00792574"/>
    <w:rsid w:val="00792952"/>
    <w:rsid w:val="00792A1A"/>
    <w:rsid w:val="00792F45"/>
    <w:rsid w:val="0079324D"/>
    <w:rsid w:val="00793508"/>
    <w:rsid w:val="00793B2B"/>
    <w:rsid w:val="00793F14"/>
    <w:rsid w:val="00793F70"/>
    <w:rsid w:val="00793F9F"/>
    <w:rsid w:val="0079417D"/>
    <w:rsid w:val="00794329"/>
    <w:rsid w:val="00794427"/>
    <w:rsid w:val="00794482"/>
    <w:rsid w:val="0079459C"/>
    <w:rsid w:val="007945D4"/>
    <w:rsid w:val="00794991"/>
    <w:rsid w:val="00794B7A"/>
    <w:rsid w:val="00794BA9"/>
    <w:rsid w:val="00794D39"/>
    <w:rsid w:val="00795165"/>
    <w:rsid w:val="00795227"/>
    <w:rsid w:val="00795460"/>
    <w:rsid w:val="007955CC"/>
    <w:rsid w:val="00795647"/>
    <w:rsid w:val="00795984"/>
    <w:rsid w:val="00795B56"/>
    <w:rsid w:val="00795C5F"/>
    <w:rsid w:val="00795D0C"/>
    <w:rsid w:val="00795DB3"/>
    <w:rsid w:val="00795DD7"/>
    <w:rsid w:val="00796132"/>
    <w:rsid w:val="00796349"/>
    <w:rsid w:val="00796496"/>
    <w:rsid w:val="0079652B"/>
    <w:rsid w:val="0079675C"/>
    <w:rsid w:val="0079685F"/>
    <w:rsid w:val="00797191"/>
    <w:rsid w:val="0079722C"/>
    <w:rsid w:val="007975B3"/>
    <w:rsid w:val="0079788F"/>
    <w:rsid w:val="00797A12"/>
    <w:rsid w:val="00797A39"/>
    <w:rsid w:val="00797AD6"/>
    <w:rsid w:val="007A0014"/>
    <w:rsid w:val="007A07FA"/>
    <w:rsid w:val="007A0997"/>
    <w:rsid w:val="007A09BB"/>
    <w:rsid w:val="007A0BE4"/>
    <w:rsid w:val="007A0D17"/>
    <w:rsid w:val="007A0D22"/>
    <w:rsid w:val="007A0DA2"/>
    <w:rsid w:val="007A0DF2"/>
    <w:rsid w:val="007A0E87"/>
    <w:rsid w:val="007A0ED3"/>
    <w:rsid w:val="007A0FB3"/>
    <w:rsid w:val="007A1007"/>
    <w:rsid w:val="007A11BE"/>
    <w:rsid w:val="007A12AA"/>
    <w:rsid w:val="007A12B1"/>
    <w:rsid w:val="007A12F4"/>
    <w:rsid w:val="007A15C4"/>
    <w:rsid w:val="007A15E7"/>
    <w:rsid w:val="007A1675"/>
    <w:rsid w:val="007A1901"/>
    <w:rsid w:val="007A1D2B"/>
    <w:rsid w:val="007A23E3"/>
    <w:rsid w:val="007A246D"/>
    <w:rsid w:val="007A2567"/>
    <w:rsid w:val="007A2A10"/>
    <w:rsid w:val="007A2ABA"/>
    <w:rsid w:val="007A2B36"/>
    <w:rsid w:val="007A2E5F"/>
    <w:rsid w:val="007A346A"/>
    <w:rsid w:val="007A352F"/>
    <w:rsid w:val="007A3581"/>
    <w:rsid w:val="007A3818"/>
    <w:rsid w:val="007A3914"/>
    <w:rsid w:val="007A394B"/>
    <w:rsid w:val="007A39B4"/>
    <w:rsid w:val="007A3A10"/>
    <w:rsid w:val="007A3B76"/>
    <w:rsid w:val="007A3C3D"/>
    <w:rsid w:val="007A3DB5"/>
    <w:rsid w:val="007A4236"/>
    <w:rsid w:val="007A43F1"/>
    <w:rsid w:val="007A4409"/>
    <w:rsid w:val="007A48CE"/>
    <w:rsid w:val="007A5075"/>
    <w:rsid w:val="007A52BA"/>
    <w:rsid w:val="007A551E"/>
    <w:rsid w:val="007A575A"/>
    <w:rsid w:val="007A5838"/>
    <w:rsid w:val="007A5A7C"/>
    <w:rsid w:val="007A5B2C"/>
    <w:rsid w:val="007A6042"/>
    <w:rsid w:val="007A62F5"/>
    <w:rsid w:val="007A6332"/>
    <w:rsid w:val="007A6553"/>
    <w:rsid w:val="007A7549"/>
    <w:rsid w:val="007A77E5"/>
    <w:rsid w:val="007A794B"/>
    <w:rsid w:val="007A7D8B"/>
    <w:rsid w:val="007A7DE6"/>
    <w:rsid w:val="007A7EAA"/>
    <w:rsid w:val="007B008A"/>
    <w:rsid w:val="007B00D8"/>
    <w:rsid w:val="007B0299"/>
    <w:rsid w:val="007B04BC"/>
    <w:rsid w:val="007B088B"/>
    <w:rsid w:val="007B0B09"/>
    <w:rsid w:val="007B0D56"/>
    <w:rsid w:val="007B0D8D"/>
    <w:rsid w:val="007B15A8"/>
    <w:rsid w:val="007B1C9D"/>
    <w:rsid w:val="007B1EE8"/>
    <w:rsid w:val="007B1F01"/>
    <w:rsid w:val="007B24F5"/>
    <w:rsid w:val="007B2542"/>
    <w:rsid w:val="007B29DC"/>
    <w:rsid w:val="007B2BDC"/>
    <w:rsid w:val="007B2EB7"/>
    <w:rsid w:val="007B2F02"/>
    <w:rsid w:val="007B2FFB"/>
    <w:rsid w:val="007B3361"/>
    <w:rsid w:val="007B348E"/>
    <w:rsid w:val="007B34DC"/>
    <w:rsid w:val="007B3E01"/>
    <w:rsid w:val="007B415C"/>
    <w:rsid w:val="007B416F"/>
    <w:rsid w:val="007B436F"/>
    <w:rsid w:val="007B4A1B"/>
    <w:rsid w:val="007B4A1E"/>
    <w:rsid w:val="007B4B28"/>
    <w:rsid w:val="007B54CB"/>
    <w:rsid w:val="007B5790"/>
    <w:rsid w:val="007B57B4"/>
    <w:rsid w:val="007B58CB"/>
    <w:rsid w:val="007B5D69"/>
    <w:rsid w:val="007B5DC7"/>
    <w:rsid w:val="007B60C5"/>
    <w:rsid w:val="007B6747"/>
    <w:rsid w:val="007B67BC"/>
    <w:rsid w:val="007B6C59"/>
    <w:rsid w:val="007B706B"/>
    <w:rsid w:val="007B721D"/>
    <w:rsid w:val="007B733D"/>
    <w:rsid w:val="007B769D"/>
    <w:rsid w:val="007B789F"/>
    <w:rsid w:val="007B78E0"/>
    <w:rsid w:val="007B78E9"/>
    <w:rsid w:val="007B7C8A"/>
    <w:rsid w:val="007B7CFD"/>
    <w:rsid w:val="007C012A"/>
    <w:rsid w:val="007C047E"/>
    <w:rsid w:val="007C0831"/>
    <w:rsid w:val="007C0A64"/>
    <w:rsid w:val="007C0A67"/>
    <w:rsid w:val="007C0BCF"/>
    <w:rsid w:val="007C0DAB"/>
    <w:rsid w:val="007C0EC5"/>
    <w:rsid w:val="007C0F37"/>
    <w:rsid w:val="007C1290"/>
    <w:rsid w:val="007C1753"/>
    <w:rsid w:val="007C186D"/>
    <w:rsid w:val="007C1B69"/>
    <w:rsid w:val="007C2322"/>
    <w:rsid w:val="007C2420"/>
    <w:rsid w:val="007C245D"/>
    <w:rsid w:val="007C2522"/>
    <w:rsid w:val="007C25F2"/>
    <w:rsid w:val="007C2A1A"/>
    <w:rsid w:val="007C3071"/>
    <w:rsid w:val="007C30F7"/>
    <w:rsid w:val="007C310C"/>
    <w:rsid w:val="007C3245"/>
    <w:rsid w:val="007C3368"/>
    <w:rsid w:val="007C3461"/>
    <w:rsid w:val="007C362B"/>
    <w:rsid w:val="007C3B8A"/>
    <w:rsid w:val="007C3E0B"/>
    <w:rsid w:val="007C3FB3"/>
    <w:rsid w:val="007C3FC5"/>
    <w:rsid w:val="007C4914"/>
    <w:rsid w:val="007C52D0"/>
    <w:rsid w:val="007C53D9"/>
    <w:rsid w:val="007C5690"/>
    <w:rsid w:val="007C574C"/>
    <w:rsid w:val="007C5795"/>
    <w:rsid w:val="007C57ED"/>
    <w:rsid w:val="007C5A00"/>
    <w:rsid w:val="007C5A20"/>
    <w:rsid w:val="007C5B31"/>
    <w:rsid w:val="007C5ED6"/>
    <w:rsid w:val="007C5F9B"/>
    <w:rsid w:val="007C5FB9"/>
    <w:rsid w:val="007C6268"/>
    <w:rsid w:val="007C67BD"/>
    <w:rsid w:val="007C68C1"/>
    <w:rsid w:val="007C6AD8"/>
    <w:rsid w:val="007C6D44"/>
    <w:rsid w:val="007C6EC9"/>
    <w:rsid w:val="007C71EB"/>
    <w:rsid w:val="007C750C"/>
    <w:rsid w:val="007C750D"/>
    <w:rsid w:val="007C78D7"/>
    <w:rsid w:val="007C79B8"/>
    <w:rsid w:val="007C7A84"/>
    <w:rsid w:val="007C7D1D"/>
    <w:rsid w:val="007D0087"/>
    <w:rsid w:val="007D02EA"/>
    <w:rsid w:val="007D02FD"/>
    <w:rsid w:val="007D0BC9"/>
    <w:rsid w:val="007D0BE2"/>
    <w:rsid w:val="007D0CD5"/>
    <w:rsid w:val="007D0E98"/>
    <w:rsid w:val="007D0F43"/>
    <w:rsid w:val="007D0FB2"/>
    <w:rsid w:val="007D10B2"/>
    <w:rsid w:val="007D1683"/>
    <w:rsid w:val="007D1B49"/>
    <w:rsid w:val="007D1B53"/>
    <w:rsid w:val="007D1BD5"/>
    <w:rsid w:val="007D1C1A"/>
    <w:rsid w:val="007D1C35"/>
    <w:rsid w:val="007D216F"/>
    <w:rsid w:val="007D2A54"/>
    <w:rsid w:val="007D2BE8"/>
    <w:rsid w:val="007D2DA1"/>
    <w:rsid w:val="007D32C3"/>
    <w:rsid w:val="007D345E"/>
    <w:rsid w:val="007D3529"/>
    <w:rsid w:val="007D36C9"/>
    <w:rsid w:val="007D376E"/>
    <w:rsid w:val="007D3AE5"/>
    <w:rsid w:val="007D3CBA"/>
    <w:rsid w:val="007D3F43"/>
    <w:rsid w:val="007D43AE"/>
    <w:rsid w:val="007D4A25"/>
    <w:rsid w:val="007D4CA6"/>
    <w:rsid w:val="007D4D07"/>
    <w:rsid w:val="007D5380"/>
    <w:rsid w:val="007D538B"/>
    <w:rsid w:val="007D5554"/>
    <w:rsid w:val="007D56F5"/>
    <w:rsid w:val="007D57AB"/>
    <w:rsid w:val="007D5B4D"/>
    <w:rsid w:val="007D5BC2"/>
    <w:rsid w:val="007D5BE5"/>
    <w:rsid w:val="007D5C33"/>
    <w:rsid w:val="007D5C63"/>
    <w:rsid w:val="007D5D8D"/>
    <w:rsid w:val="007D5E5E"/>
    <w:rsid w:val="007D5E90"/>
    <w:rsid w:val="007D5EDA"/>
    <w:rsid w:val="007D6009"/>
    <w:rsid w:val="007D6054"/>
    <w:rsid w:val="007D6490"/>
    <w:rsid w:val="007D68CD"/>
    <w:rsid w:val="007D6BB8"/>
    <w:rsid w:val="007D6C7B"/>
    <w:rsid w:val="007D6ECA"/>
    <w:rsid w:val="007D725E"/>
    <w:rsid w:val="007D7365"/>
    <w:rsid w:val="007D7451"/>
    <w:rsid w:val="007D7552"/>
    <w:rsid w:val="007D75D5"/>
    <w:rsid w:val="007D794B"/>
    <w:rsid w:val="007D7D63"/>
    <w:rsid w:val="007D7DB8"/>
    <w:rsid w:val="007D7DC7"/>
    <w:rsid w:val="007E002F"/>
    <w:rsid w:val="007E037E"/>
    <w:rsid w:val="007E0462"/>
    <w:rsid w:val="007E07A5"/>
    <w:rsid w:val="007E0E7E"/>
    <w:rsid w:val="007E10E8"/>
    <w:rsid w:val="007E11A9"/>
    <w:rsid w:val="007E12CE"/>
    <w:rsid w:val="007E13FB"/>
    <w:rsid w:val="007E1517"/>
    <w:rsid w:val="007E190B"/>
    <w:rsid w:val="007E1DC1"/>
    <w:rsid w:val="007E21F5"/>
    <w:rsid w:val="007E2794"/>
    <w:rsid w:val="007E2C7B"/>
    <w:rsid w:val="007E2D3C"/>
    <w:rsid w:val="007E2E1D"/>
    <w:rsid w:val="007E2EEF"/>
    <w:rsid w:val="007E301B"/>
    <w:rsid w:val="007E30CA"/>
    <w:rsid w:val="007E322C"/>
    <w:rsid w:val="007E33B9"/>
    <w:rsid w:val="007E3526"/>
    <w:rsid w:val="007E3723"/>
    <w:rsid w:val="007E3C68"/>
    <w:rsid w:val="007E3C7A"/>
    <w:rsid w:val="007E3DA7"/>
    <w:rsid w:val="007E3E3A"/>
    <w:rsid w:val="007E3EB7"/>
    <w:rsid w:val="007E404F"/>
    <w:rsid w:val="007E4D53"/>
    <w:rsid w:val="007E54BA"/>
    <w:rsid w:val="007E5621"/>
    <w:rsid w:val="007E5717"/>
    <w:rsid w:val="007E57C5"/>
    <w:rsid w:val="007E588D"/>
    <w:rsid w:val="007E59DA"/>
    <w:rsid w:val="007E5F7C"/>
    <w:rsid w:val="007E6310"/>
    <w:rsid w:val="007E6324"/>
    <w:rsid w:val="007E6480"/>
    <w:rsid w:val="007E745E"/>
    <w:rsid w:val="007E7765"/>
    <w:rsid w:val="007F00C9"/>
    <w:rsid w:val="007F0103"/>
    <w:rsid w:val="007F0A20"/>
    <w:rsid w:val="007F1D7D"/>
    <w:rsid w:val="007F1FA5"/>
    <w:rsid w:val="007F220C"/>
    <w:rsid w:val="007F23C8"/>
    <w:rsid w:val="007F2765"/>
    <w:rsid w:val="007F2991"/>
    <w:rsid w:val="007F2B54"/>
    <w:rsid w:val="007F2D57"/>
    <w:rsid w:val="007F3478"/>
    <w:rsid w:val="007F35A7"/>
    <w:rsid w:val="007F365D"/>
    <w:rsid w:val="007F3B43"/>
    <w:rsid w:val="007F3D35"/>
    <w:rsid w:val="007F3E6C"/>
    <w:rsid w:val="007F40AD"/>
    <w:rsid w:val="007F4321"/>
    <w:rsid w:val="007F435C"/>
    <w:rsid w:val="007F4503"/>
    <w:rsid w:val="007F451D"/>
    <w:rsid w:val="007F455D"/>
    <w:rsid w:val="007F476D"/>
    <w:rsid w:val="007F4796"/>
    <w:rsid w:val="007F4814"/>
    <w:rsid w:val="007F48EF"/>
    <w:rsid w:val="007F49AC"/>
    <w:rsid w:val="007F4A73"/>
    <w:rsid w:val="007F4DCC"/>
    <w:rsid w:val="007F4FB9"/>
    <w:rsid w:val="007F51E3"/>
    <w:rsid w:val="007F537D"/>
    <w:rsid w:val="007F557A"/>
    <w:rsid w:val="007F5787"/>
    <w:rsid w:val="007F5834"/>
    <w:rsid w:val="007F589B"/>
    <w:rsid w:val="007F58C9"/>
    <w:rsid w:val="007F5D8B"/>
    <w:rsid w:val="007F5D96"/>
    <w:rsid w:val="007F5DBE"/>
    <w:rsid w:val="007F5F15"/>
    <w:rsid w:val="007F5F3E"/>
    <w:rsid w:val="007F6275"/>
    <w:rsid w:val="007F699E"/>
    <w:rsid w:val="007F6AFA"/>
    <w:rsid w:val="007F6D97"/>
    <w:rsid w:val="007F717E"/>
    <w:rsid w:val="007F718E"/>
    <w:rsid w:val="007F731B"/>
    <w:rsid w:val="007F74C2"/>
    <w:rsid w:val="007F7563"/>
    <w:rsid w:val="007F75FF"/>
    <w:rsid w:val="007F76BB"/>
    <w:rsid w:val="007F7925"/>
    <w:rsid w:val="007F7957"/>
    <w:rsid w:val="007F7A10"/>
    <w:rsid w:val="007F7C16"/>
    <w:rsid w:val="0080079F"/>
    <w:rsid w:val="00800941"/>
    <w:rsid w:val="0080099D"/>
    <w:rsid w:val="00800C2A"/>
    <w:rsid w:val="00800D91"/>
    <w:rsid w:val="008011B5"/>
    <w:rsid w:val="008011FE"/>
    <w:rsid w:val="00801441"/>
    <w:rsid w:val="0080150A"/>
    <w:rsid w:val="008015F2"/>
    <w:rsid w:val="008017CB"/>
    <w:rsid w:val="00801C0F"/>
    <w:rsid w:val="00802117"/>
    <w:rsid w:val="00802160"/>
    <w:rsid w:val="008023F6"/>
    <w:rsid w:val="0080280D"/>
    <w:rsid w:val="00802980"/>
    <w:rsid w:val="00802C51"/>
    <w:rsid w:val="00802D31"/>
    <w:rsid w:val="00802E4A"/>
    <w:rsid w:val="00802E9F"/>
    <w:rsid w:val="00802EEE"/>
    <w:rsid w:val="00802F1B"/>
    <w:rsid w:val="0080324E"/>
    <w:rsid w:val="008035A5"/>
    <w:rsid w:val="008036C8"/>
    <w:rsid w:val="00803D70"/>
    <w:rsid w:val="00803FD6"/>
    <w:rsid w:val="0080417D"/>
    <w:rsid w:val="008041D9"/>
    <w:rsid w:val="00804592"/>
    <w:rsid w:val="00804B15"/>
    <w:rsid w:val="00804B17"/>
    <w:rsid w:val="00804DCF"/>
    <w:rsid w:val="00804DF9"/>
    <w:rsid w:val="00804E88"/>
    <w:rsid w:val="00804E8F"/>
    <w:rsid w:val="0080511F"/>
    <w:rsid w:val="00805914"/>
    <w:rsid w:val="00805DCD"/>
    <w:rsid w:val="00805E76"/>
    <w:rsid w:val="00805F40"/>
    <w:rsid w:val="008060F9"/>
    <w:rsid w:val="008062BC"/>
    <w:rsid w:val="0080634F"/>
    <w:rsid w:val="008065BB"/>
    <w:rsid w:val="0080698E"/>
    <w:rsid w:val="00806A27"/>
    <w:rsid w:val="00806CC2"/>
    <w:rsid w:val="00806FDD"/>
    <w:rsid w:val="008073C0"/>
    <w:rsid w:val="00807459"/>
    <w:rsid w:val="008077AD"/>
    <w:rsid w:val="00807817"/>
    <w:rsid w:val="008078A6"/>
    <w:rsid w:val="00807D5E"/>
    <w:rsid w:val="00807DF2"/>
    <w:rsid w:val="00810075"/>
    <w:rsid w:val="008105A7"/>
    <w:rsid w:val="00810686"/>
    <w:rsid w:val="00810964"/>
    <w:rsid w:val="00810C2F"/>
    <w:rsid w:val="00810C31"/>
    <w:rsid w:val="00810E78"/>
    <w:rsid w:val="00810EAC"/>
    <w:rsid w:val="00810F77"/>
    <w:rsid w:val="0081101E"/>
    <w:rsid w:val="008111CF"/>
    <w:rsid w:val="008114FD"/>
    <w:rsid w:val="0081188A"/>
    <w:rsid w:val="008119CD"/>
    <w:rsid w:val="00811A18"/>
    <w:rsid w:val="00811D5F"/>
    <w:rsid w:val="00812341"/>
    <w:rsid w:val="0081247E"/>
    <w:rsid w:val="008124F4"/>
    <w:rsid w:val="008125E4"/>
    <w:rsid w:val="008128ED"/>
    <w:rsid w:val="00812912"/>
    <w:rsid w:val="00812A8C"/>
    <w:rsid w:val="00812DA2"/>
    <w:rsid w:val="00812EF8"/>
    <w:rsid w:val="0081307A"/>
    <w:rsid w:val="008130EF"/>
    <w:rsid w:val="0081338D"/>
    <w:rsid w:val="008135E2"/>
    <w:rsid w:val="008136E5"/>
    <w:rsid w:val="00813A72"/>
    <w:rsid w:val="00813B14"/>
    <w:rsid w:val="00813D71"/>
    <w:rsid w:val="00813F80"/>
    <w:rsid w:val="00814163"/>
    <w:rsid w:val="00814304"/>
    <w:rsid w:val="00814480"/>
    <w:rsid w:val="008144F3"/>
    <w:rsid w:val="0081484D"/>
    <w:rsid w:val="00814A72"/>
    <w:rsid w:val="00814A8E"/>
    <w:rsid w:val="00814C32"/>
    <w:rsid w:val="00814D1F"/>
    <w:rsid w:val="00814F5F"/>
    <w:rsid w:val="00814F83"/>
    <w:rsid w:val="00815161"/>
    <w:rsid w:val="008154FA"/>
    <w:rsid w:val="008155A6"/>
    <w:rsid w:val="008156C0"/>
    <w:rsid w:val="008159D0"/>
    <w:rsid w:val="00816031"/>
    <w:rsid w:val="0081608E"/>
    <w:rsid w:val="008163B2"/>
    <w:rsid w:val="00816619"/>
    <w:rsid w:val="008168C9"/>
    <w:rsid w:val="00816AB4"/>
    <w:rsid w:val="00816BC1"/>
    <w:rsid w:val="00816E5F"/>
    <w:rsid w:val="008171B9"/>
    <w:rsid w:val="00817821"/>
    <w:rsid w:val="008178A0"/>
    <w:rsid w:val="00817978"/>
    <w:rsid w:val="00817A47"/>
    <w:rsid w:val="00817ACB"/>
    <w:rsid w:val="00817BAA"/>
    <w:rsid w:val="00817CB6"/>
    <w:rsid w:val="00820002"/>
    <w:rsid w:val="008201D3"/>
    <w:rsid w:val="008202BB"/>
    <w:rsid w:val="0082050A"/>
    <w:rsid w:val="00820606"/>
    <w:rsid w:val="00820AD0"/>
    <w:rsid w:val="00820D38"/>
    <w:rsid w:val="00820E7E"/>
    <w:rsid w:val="0082108A"/>
    <w:rsid w:val="008210C5"/>
    <w:rsid w:val="00821224"/>
    <w:rsid w:val="0082135E"/>
    <w:rsid w:val="008214D0"/>
    <w:rsid w:val="008215F1"/>
    <w:rsid w:val="0082181C"/>
    <w:rsid w:val="0082184B"/>
    <w:rsid w:val="008218C2"/>
    <w:rsid w:val="00821C87"/>
    <w:rsid w:val="008220CF"/>
    <w:rsid w:val="0082214C"/>
    <w:rsid w:val="00822242"/>
    <w:rsid w:val="008223F1"/>
    <w:rsid w:val="00823035"/>
    <w:rsid w:val="0082333D"/>
    <w:rsid w:val="008233A0"/>
    <w:rsid w:val="0082340C"/>
    <w:rsid w:val="008236C4"/>
    <w:rsid w:val="00823D05"/>
    <w:rsid w:val="00824122"/>
    <w:rsid w:val="008241E6"/>
    <w:rsid w:val="008242F7"/>
    <w:rsid w:val="00824426"/>
    <w:rsid w:val="008246D2"/>
    <w:rsid w:val="00824882"/>
    <w:rsid w:val="00824ADD"/>
    <w:rsid w:val="00824DFA"/>
    <w:rsid w:val="00824E7B"/>
    <w:rsid w:val="00824FBA"/>
    <w:rsid w:val="00825111"/>
    <w:rsid w:val="00825896"/>
    <w:rsid w:val="00825A6B"/>
    <w:rsid w:val="00825ABA"/>
    <w:rsid w:val="00825F51"/>
    <w:rsid w:val="00825F66"/>
    <w:rsid w:val="0082607C"/>
    <w:rsid w:val="008260D3"/>
    <w:rsid w:val="0082610F"/>
    <w:rsid w:val="00826419"/>
    <w:rsid w:val="00826B33"/>
    <w:rsid w:val="00826E28"/>
    <w:rsid w:val="00826F99"/>
    <w:rsid w:val="0082705E"/>
    <w:rsid w:val="008270F4"/>
    <w:rsid w:val="008272C8"/>
    <w:rsid w:val="008272D8"/>
    <w:rsid w:val="0082730D"/>
    <w:rsid w:val="008274C1"/>
    <w:rsid w:val="0082783D"/>
    <w:rsid w:val="00827A5A"/>
    <w:rsid w:val="00827B56"/>
    <w:rsid w:val="00827D65"/>
    <w:rsid w:val="00827E30"/>
    <w:rsid w:val="00827E47"/>
    <w:rsid w:val="00827F69"/>
    <w:rsid w:val="00827FA7"/>
    <w:rsid w:val="00830056"/>
    <w:rsid w:val="008306BF"/>
    <w:rsid w:val="008307B9"/>
    <w:rsid w:val="008309D0"/>
    <w:rsid w:val="00830A03"/>
    <w:rsid w:val="00830BA5"/>
    <w:rsid w:val="00830CAA"/>
    <w:rsid w:val="00830CCC"/>
    <w:rsid w:val="00830F8F"/>
    <w:rsid w:val="008311BF"/>
    <w:rsid w:val="0083128F"/>
    <w:rsid w:val="008317BC"/>
    <w:rsid w:val="0083193C"/>
    <w:rsid w:val="00831A20"/>
    <w:rsid w:val="00831AA2"/>
    <w:rsid w:val="0083221B"/>
    <w:rsid w:val="0083243A"/>
    <w:rsid w:val="008325AB"/>
    <w:rsid w:val="0083275D"/>
    <w:rsid w:val="00832AB6"/>
    <w:rsid w:val="00832E7D"/>
    <w:rsid w:val="00832E94"/>
    <w:rsid w:val="00833066"/>
    <w:rsid w:val="0083312C"/>
    <w:rsid w:val="00833145"/>
    <w:rsid w:val="0083322A"/>
    <w:rsid w:val="00833242"/>
    <w:rsid w:val="00833748"/>
    <w:rsid w:val="00833830"/>
    <w:rsid w:val="0083396A"/>
    <w:rsid w:val="00833B26"/>
    <w:rsid w:val="00833DB0"/>
    <w:rsid w:val="008346CB"/>
    <w:rsid w:val="008347FF"/>
    <w:rsid w:val="00834DC0"/>
    <w:rsid w:val="008352CD"/>
    <w:rsid w:val="008359F8"/>
    <w:rsid w:val="00835BA8"/>
    <w:rsid w:val="00836076"/>
    <w:rsid w:val="008360BF"/>
    <w:rsid w:val="0083661F"/>
    <w:rsid w:val="0083674C"/>
    <w:rsid w:val="008367A6"/>
    <w:rsid w:val="008369E2"/>
    <w:rsid w:val="00836D29"/>
    <w:rsid w:val="00837590"/>
    <w:rsid w:val="008375D6"/>
    <w:rsid w:val="00837622"/>
    <w:rsid w:val="00837ADF"/>
    <w:rsid w:val="00837C8B"/>
    <w:rsid w:val="00837F61"/>
    <w:rsid w:val="00840059"/>
    <w:rsid w:val="008401BA"/>
    <w:rsid w:val="008402B8"/>
    <w:rsid w:val="008405B5"/>
    <w:rsid w:val="008408C0"/>
    <w:rsid w:val="00840980"/>
    <w:rsid w:val="008409AE"/>
    <w:rsid w:val="00840B01"/>
    <w:rsid w:val="00840E23"/>
    <w:rsid w:val="00841022"/>
    <w:rsid w:val="008411A9"/>
    <w:rsid w:val="0084184E"/>
    <w:rsid w:val="008418B2"/>
    <w:rsid w:val="00841A41"/>
    <w:rsid w:val="00841B50"/>
    <w:rsid w:val="00841D0F"/>
    <w:rsid w:val="0084218B"/>
    <w:rsid w:val="008423CD"/>
    <w:rsid w:val="008423F2"/>
    <w:rsid w:val="00842A2E"/>
    <w:rsid w:val="00843173"/>
    <w:rsid w:val="00843372"/>
    <w:rsid w:val="008435B3"/>
    <w:rsid w:val="0084386B"/>
    <w:rsid w:val="00843A19"/>
    <w:rsid w:val="00843ADF"/>
    <w:rsid w:val="00843D24"/>
    <w:rsid w:val="00843DBE"/>
    <w:rsid w:val="00843EEA"/>
    <w:rsid w:val="00844049"/>
    <w:rsid w:val="00844093"/>
    <w:rsid w:val="00844189"/>
    <w:rsid w:val="008443FC"/>
    <w:rsid w:val="00844816"/>
    <w:rsid w:val="00844C8A"/>
    <w:rsid w:val="00844E7C"/>
    <w:rsid w:val="008450B0"/>
    <w:rsid w:val="00845CE2"/>
    <w:rsid w:val="00845E80"/>
    <w:rsid w:val="00845F42"/>
    <w:rsid w:val="00845FCA"/>
    <w:rsid w:val="0084606F"/>
    <w:rsid w:val="008465A7"/>
    <w:rsid w:val="0084669B"/>
    <w:rsid w:val="0084679D"/>
    <w:rsid w:val="0084681C"/>
    <w:rsid w:val="00846911"/>
    <w:rsid w:val="008469C0"/>
    <w:rsid w:val="00846D70"/>
    <w:rsid w:val="00847032"/>
    <w:rsid w:val="0084716B"/>
    <w:rsid w:val="00847726"/>
    <w:rsid w:val="00847CD3"/>
    <w:rsid w:val="00847D38"/>
    <w:rsid w:val="008501AB"/>
    <w:rsid w:val="0085066B"/>
    <w:rsid w:val="008507C9"/>
    <w:rsid w:val="00850812"/>
    <w:rsid w:val="00850850"/>
    <w:rsid w:val="0085085D"/>
    <w:rsid w:val="00850984"/>
    <w:rsid w:val="00850A3E"/>
    <w:rsid w:val="00850A51"/>
    <w:rsid w:val="00850AA1"/>
    <w:rsid w:val="00850AA7"/>
    <w:rsid w:val="00850E24"/>
    <w:rsid w:val="0085189C"/>
    <w:rsid w:val="00851D39"/>
    <w:rsid w:val="00851D5C"/>
    <w:rsid w:val="008521D9"/>
    <w:rsid w:val="008527B3"/>
    <w:rsid w:val="00852AB8"/>
    <w:rsid w:val="00853284"/>
    <w:rsid w:val="0085328B"/>
    <w:rsid w:val="0085338D"/>
    <w:rsid w:val="0085349E"/>
    <w:rsid w:val="0085356B"/>
    <w:rsid w:val="0085366D"/>
    <w:rsid w:val="00853A94"/>
    <w:rsid w:val="00853FC6"/>
    <w:rsid w:val="00854077"/>
    <w:rsid w:val="008540EE"/>
    <w:rsid w:val="00854110"/>
    <w:rsid w:val="008542FF"/>
    <w:rsid w:val="008543F6"/>
    <w:rsid w:val="008543FD"/>
    <w:rsid w:val="00854804"/>
    <w:rsid w:val="00854935"/>
    <w:rsid w:val="00854AF2"/>
    <w:rsid w:val="00854EBB"/>
    <w:rsid w:val="00855027"/>
    <w:rsid w:val="0085508D"/>
    <w:rsid w:val="008551AF"/>
    <w:rsid w:val="008557DA"/>
    <w:rsid w:val="00855953"/>
    <w:rsid w:val="00856000"/>
    <w:rsid w:val="00856122"/>
    <w:rsid w:val="00856338"/>
    <w:rsid w:val="00856486"/>
    <w:rsid w:val="00856AE5"/>
    <w:rsid w:val="0085709E"/>
    <w:rsid w:val="00857664"/>
    <w:rsid w:val="00857939"/>
    <w:rsid w:val="0085798D"/>
    <w:rsid w:val="00857A2C"/>
    <w:rsid w:val="00857A45"/>
    <w:rsid w:val="00857F33"/>
    <w:rsid w:val="008600EF"/>
    <w:rsid w:val="008604D8"/>
    <w:rsid w:val="008605BE"/>
    <w:rsid w:val="00860B24"/>
    <w:rsid w:val="00860B6F"/>
    <w:rsid w:val="00860C9B"/>
    <w:rsid w:val="00860CF9"/>
    <w:rsid w:val="00860DE7"/>
    <w:rsid w:val="00860F08"/>
    <w:rsid w:val="00861041"/>
    <w:rsid w:val="00861463"/>
    <w:rsid w:val="0086181D"/>
    <w:rsid w:val="00861ABF"/>
    <w:rsid w:val="00861B43"/>
    <w:rsid w:val="00861D80"/>
    <w:rsid w:val="00861DFF"/>
    <w:rsid w:val="00861FC3"/>
    <w:rsid w:val="0086225F"/>
    <w:rsid w:val="0086226A"/>
    <w:rsid w:val="00862278"/>
    <w:rsid w:val="00862694"/>
    <w:rsid w:val="008628A7"/>
    <w:rsid w:val="00862B42"/>
    <w:rsid w:val="00862B4B"/>
    <w:rsid w:val="00863174"/>
    <w:rsid w:val="00863564"/>
    <w:rsid w:val="0086366F"/>
    <w:rsid w:val="008639EE"/>
    <w:rsid w:val="00863AF7"/>
    <w:rsid w:val="00863C34"/>
    <w:rsid w:val="00863CE3"/>
    <w:rsid w:val="00863E70"/>
    <w:rsid w:val="00863F00"/>
    <w:rsid w:val="008643A9"/>
    <w:rsid w:val="00864543"/>
    <w:rsid w:val="00864701"/>
    <w:rsid w:val="00864AF8"/>
    <w:rsid w:val="00864D2E"/>
    <w:rsid w:val="00864DB9"/>
    <w:rsid w:val="00864F3C"/>
    <w:rsid w:val="00864F7D"/>
    <w:rsid w:val="008650D6"/>
    <w:rsid w:val="00865305"/>
    <w:rsid w:val="00865ABF"/>
    <w:rsid w:val="00865CC7"/>
    <w:rsid w:val="00866266"/>
    <w:rsid w:val="0086658A"/>
    <w:rsid w:val="00866601"/>
    <w:rsid w:val="00866B85"/>
    <w:rsid w:val="00866CE6"/>
    <w:rsid w:val="008675E4"/>
    <w:rsid w:val="008679B7"/>
    <w:rsid w:val="008679CF"/>
    <w:rsid w:val="00867AC1"/>
    <w:rsid w:val="00867BE3"/>
    <w:rsid w:val="00867DB4"/>
    <w:rsid w:val="00870000"/>
    <w:rsid w:val="00870241"/>
    <w:rsid w:val="008703C7"/>
    <w:rsid w:val="00870401"/>
    <w:rsid w:val="008704A8"/>
    <w:rsid w:val="008704CF"/>
    <w:rsid w:val="00870E3D"/>
    <w:rsid w:val="00870E6D"/>
    <w:rsid w:val="00871082"/>
    <w:rsid w:val="008715E8"/>
    <w:rsid w:val="00871AEF"/>
    <w:rsid w:val="00871C7B"/>
    <w:rsid w:val="00872788"/>
    <w:rsid w:val="00872AED"/>
    <w:rsid w:val="00872B91"/>
    <w:rsid w:val="00872FDD"/>
    <w:rsid w:val="0087301C"/>
    <w:rsid w:val="008732AA"/>
    <w:rsid w:val="00873677"/>
    <w:rsid w:val="0087387B"/>
    <w:rsid w:val="008739AE"/>
    <w:rsid w:val="00873C07"/>
    <w:rsid w:val="00873D5A"/>
    <w:rsid w:val="00873E0B"/>
    <w:rsid w:val="00873E54"/>
    <w:rsid w:val="008742EF"/>
    <w:rsid w:val="008742F2"/>
    <w:rsid w:val="008743E4"/>
    <w:rsid w:val="00874633"/>
    <w:rsid w:val="00874667"/>
    <w:rsid w:val="00874C0A"/>
    <w:rsid w:val="00874CD6"/>
    <w:rsid w:val="0087500E"/>
    <w:rsid w:val="00875461"/>
    <w:rsid w:val="008754B2"/>
    <w:rsid w:val="008755DC"/>
    <w:rsid w:val="00875762"/>
    <w:rsid w:val="00875A75"/>
    <w:rsid w:val="00875BF1"/>
    <w:rsid w:val="00875C47"/>
    <w:rsid w:val="00875D50"/>
    <w:rsid w:val="00875D72"/>
    <w:rsid w:val="00875FCB"/>
    <w:rsid w:val="008760AB"/>
    <w:rsid w:val="0087662D"/>
    <w:rsid w:val="0087688B"/>
    <w:rsid w:val="00876A4B"/>
    <w:rsid w:val="00876B6C"/>
    <w:rsid w:val="00876EFA"/>
    <w:rsid w:val="00876F41"/>
    <w:rsid w:val="00876FF3"/>
    <w:rsid w:val="00877099"/>
    <w:rsid w:val="00877336"/>
    <w:rsid w:val="00877909"/>
    <w:rsid w:val="008779DA"/>
    <w:rsid w:val="00877C0D"/>
    <w:rsid w:val="00877CA9"/>
    <w:rsid w:val="00877E39"/>
    <w:rsid w:val="00877FEF"/>
    <w:rsid w:val="00880139"/>
    <w:rsid w:val="008801DC"/>
    <w:rsid w:val="008802A8"/>
    <w:rsid w:val="00880681"/>
    <w:rsid w:val="00880CDF"/>
    <w:rsid w:val="008812B2"/>
    <w:rsid w:val="00881595"/>
    <w:rsid w:val="0088171A"/>
    <w:rsid w:val="00881B6E"/>
    <w:rsid w:val="00881CD8"/>
    <w:rsid w:val="00881DF4"/>
    <w:rsid w:val="008820D7"/>
    <w:rsid w:val="00882158"/>
    <w:rsid w:val="00882311"/>
    <w:rsid w:val="00882507"/>
    <w:rsid w:val="0088263A"/>
    <w:rsid w:val="0088276C"/>
    <w:rsid w:val="008827F0"/>
    <w:rsid w:val="008829E4"/>
    <w:rsid w:val="00882AA7"/>
    <w:rsid w:val="00882C5B"/>
    <w:rsid w:val="00882E0A"/>
    <w:rsid w:val="00882EB1"/>
    <w:rsid w:val="00882EF6"/>
    <w:rsid w:val="00883163"/>
    <w:rsid w:val="0088353E"/>
    <w:rsid w:val="00883B9F"/>
    <w:rsid w:val="00883BA2"/>
    <w:rsid w:val="00883D8E"/>
    <w:rsid w:val="00883E9F"/>
    <w:rsid w:val="00883FF0"/>
    <w:rsid w:val="00884105"/>
    <w:rsid w:val="0088429E"/>
    <w:rsid w:val="00884513"/>
    <w:rsid w:val="00884674"/>
    <w:rsid w:val="00884695"/>
    <w:rsid w:val="00884A3E"/>
    <w:rsid w:val="00884B81"/>
    <w:rsid w:val="00884C9A"/>
    <w:rsid w:val="00884C9C"/>
    <w:rsid w:val="00884CF4"/>
    <w:rsid w:val="00884DD0"/>
    <w:rsid w:val="008851D1"/>
    <w:rsid w:val="00885398"/>
    <w:rsid w:val="008854B1"/>
    <w:rsid w:val="008857E1"/>
    <w:rsid w:val="00885C00"/>
    <w:rsid w:val="00885F7B"/>
    <w:rsid w:val="0088602F"/>
    <w:rsid w:val="00886298"/>
    <w:rsid w:val="0088638C"/>
    <w:rsid w:val="008863FD"/>
    <w:rsid w:val="008866A7"/>
    <w:rsid w:val="00886764"/>
    <w:rsid w:val="008867C6"/>
    <w:rsid w:val="008868DE"/>
    <w:rsid w:val="00886AA2"/>
    <w:rsid w:val="00886BE9"/>
    <w:rsid w:val="00886D36"/>
    <w:rsid w:val="00886DED"/>
    <w:rsid w:val="00886F68"/>
    <w:rsid w:val="0088733E"/>
    <w:rsid w:val="00887361"/>
    <w:rsid w:val="0088767E"/>
    <w:rsid w:val="0088784F"/>
    <w:rsid w:val="00887BB9"/>
    <w:rsid w:val="0089007D"/>
    <w:rsid w:val="00890268"/>
    <w:rsid w:val="00890312"/>
    <w:rsid w:val="00890315"/>
    <w:rsid w:val="0089038F"/>
    <w:rsid w:val="00890824"/>
    <w:rsid w:val="0089091A"/>
    <w:rsid w:val="00890939"/>
    <w:rsid w:val="00890BC5"/>
    <w:rsid w:val="00890BF0"/>
    <w:rsid w:val="00890DA5"/>
    <w:rsid w:val="00890F16"/>
    <w:rsid w:val="008910FD"/>
    <w:rsid w:val="0089124F"/>
    <w:rsid w:val="008915E3"/>
    <w:rsid w:val="00891763"/>
    <w:rsid w:val="00891856"/>
    <w:rsid w:val="00891A1E"/>
    <w:rsid w:val="00891AA5"/>
    <w:rsid w:val="00891BE6"/>
    <w:rsid w:val="008923FB"/>
    <w:rsid w:val="0089271E"/>
    <w:rsid w:val="00892990"/>
    <w:rsid w:val="00892A1E"/>
    <w:rsid w:val="00892AE4"/>
    <w:rsid w:val="00892E28"/>
    <w:rsid w:val="00893080"/>
    <w:rsid w:val="008932BC"/>
    <w:rsid w:val="008932F5"/>
    <w:rsid w:val="008939DC"/>
    <w:rsid w:val="00893B98"/>
    <w:rsid w:val="00893BE7"/>
    <w:rsid w:val="00893D06"/>
    <w:rsid w:val="00893E99"/>
    <w:rsid w:val="00893F57"/>
    <w:rsid w:val="0089411D"/>
    <w:rsid w:val="008943C2"/>
    <w:rsid w:val="008943FE"/>
    <w:rsid w:val="0089468B"/>
    <w:rsid w:val="008946D2"/>
    <w:rsid w:val="00894953"/>
    <w:rsid w:val="008949BA"/>
    <w:rsid w:val="00894BD4"/>
    <w:rsid w:val="00894DF7"/>
    <w:rsid w:val="00895009"/>
    <w:rsid w:val="00895192"/>
    <w:rsid w:val="00895313"/>
    <w:rsid w:val="008953A3"/>
    <w:rsid w:val="008953E2"/>
    <w:rsid w:val="0089549A"/>
    <w:rsid w:val="008954A5"/>
    <w:rsid w:val="008959DC"/>
    <w:rsid w:val="00895ECA"/>
    <w:rsid w:val="00896035"/>
    <w:rsid w:val="00896052"/>
    <w:rsid w:val="008960E5"/>
    <w:rsid w:val="0089615D"/>
    <w:rsid w:val="00896168"/>
    <w:rsid w:val="008961F7"/>
    <w:rsid w:val="008965AD"/>
    <w:rsid w:val="00896BA9"/>
    <w:rsid w:val="00896D94"/>
    <w:rsid w:val="008973AD"/>
    <w:rsid w:val="00897412"/>
    <w:rsid w:val="008974BD"/>
    <w:rsid w:val="00897528"/>
    <w:rsid w:val="0089768C"/>
    <w:rsid w:val="008976C9"/>
    <w:rsid w:val="008978B3"/>
    <w:rsid w:val="00897A2C"/>
    <w:rsid w:val="00897AF6"/>
    <w:rsid w:val="00897B06"/>
    <w:rsid w:val="00897BB5"/>
    <w:rsid w:val="00897FCE"/>
    <w:rsid w:val="008A00D6"/>
    <w:rsid w:val="008A0210"/>
    <w:rsid w:val="008A05F8"/>
    <w:rsid w:val="008A060D"/>
    <w:rsid w:val="008A086C"/>
    <w:rsid w:val="008A0BF6"/>
    <w:rsid w:val="008A0DA9"/>
    <w:rsid w:val="008A128A"/>
    <w:rsid w:val="008A12FD"/>
    <w:rsid w:val="008A14BE"/>
    <w:rsid w:val="008A172F"/>
    <w:rsid w:val="008A19D8"/>
    <w:rsid w:val="008A1A65"/>
    <w:rsid w:val="008A1F72"/>
    <w:rsid w:val="008A1FAB"/>
    <w:rsid w:val="008A1FE6"/>
    <w:rsid w:val="008A2068"/>
    <w:rsid w:val="008A2280"/>
    <w:rsid w:val="008A237F"/>
    <w:rsid w:val="008A239E"/>
    <w:rsid w:val="008A243F"/>
    <w:rsid w:val="008A24DB"/>
    <w:rsid w:val="008A2930"/>
    <w:rsid w:val="008A2AC7"/>
    <w:rsid w:val="008A2AE1"/>
    <w:rsid w:val="008A2BF3"/>
    <w:rsid w:val="008A30D7"/>
    <w:rsid w:val="008A30F1"/>
    <w:rsid w:val="008A317D"/>
    <w:rsid w:val="008A31E7"/>
    <w:rsid w:val="008A3321"/>
    <w:rsid w:val="008A3506"/>
    <w:rsid w:val="008A36DB"/>
    <w:rsid w:val="008A3828"/>
    <w:rsid w:val="008A3923"/>
    <w:rsid w:val="008A3A2E"/>
    <w:rsid w:val="008A3AE6"/>
    <w:rsid w:val="008A3C59"/>
    <w:rsid w:val="008A3DF3"/>
    <w:rsid w:val="008A3F64"/>
    <w:rsid w:val="008A44E3"/>
    <w:rsid w:val="008A4524"/>
    <w:rsid w:val="008A464F"/>
    <w:rsid w:val="008A4674"/>
    <w:rsid w:val="008A4ADC"/>
    <w:rsid w:val="008A4C69"/>
    <w:rsid w:val="008A4D8C"/>
    <w:rsid w:val="008A4DA8"/>
    <w:rsid w:val="008A4E26"/>
    <w:rsid w:val="008A515C"/>
    <w:rsid w:val="008A51AE"/>
    <w:rsid w:val="008A5AA1"/>
    <w:rsid w:val="008A5E5C"/>
    <w:rsid w:val="008A5EA2"/>
    <w:rsid w:val="008A6073"/>
    <w:rsid w:val="008A6162"/>
    <w:rsid w:val="008A61F6"/>
    <w:rsid w:val="008A635B"/>
    <w:rsid w:val="008A6668"/>
    <w:rsid w:val="008A66AA"/>
    <w:rsid w:val="008A672F"/>
    <w:rsid w:val="008A69B1"/>
    <w:rsid w:val="008A7234"/>
    <w:rsid w:val="008A74A3"/>
    <w:rsid w:val="008A75D5"/>
    <w:rsid w:val="008A76AA"/>
    <w:rsid w:val="008A76CD"/>
    <w:rsid w:val="008A77CA"/>
    <w:rsid w:val="008A7C11"/>
    <w:rsid w:val="008A7CB5"/>
    <w:rsid w:val="008A7E9C"/>
    <w:rsid w:val="008B011C"/>
    <w:rsid w:val="008B01B6"/>
    <w:rsid w:val="008B0431"/>
    <w:rsid w:val="008B0775"/>
    <w:rsid w:val="008B08DE"/>
    <w:rsid w:val="008B1169"/>
    <w:rsid w:val="008B125D"/>
    <w:rsid w:val="008B1426"/>
    <w:rsid w:val="008B162C"/>
    <w:rsid w:val="008B1891"/>
    <w:rsid w:val="008B1976"/>
    <w:rsid w:val="008B1BDA"/>
    <w:rsid w:val="008B1D60"/>
    <w:rsid w:val="008B1D6B"/>
    <w:rsid w:val="008B1F03"/>
    <w:rsid w:val="008B1FA9"/>
    <w:rsid w:val="008B23B5"/>
    <w:rsid w:val="008B23D4"/>
    <w:rsid w:val="008B24CC"/>
    <w:rsid w:val="008B2C1D"/>
    <w:rsid w:val="008B2F7F"/>
    <w:rsid w:val="008B318F"/>
    <w:rsid w:val="008B329B"/>
    <w:rsid w:val="008B34D4"/>
    <w:rsid w:val="008B35D3"/>
    <w:rsid w:val="008B369B"/>
    <w:rsid w:val="008B3847"/>
    <w:rsid w:val="008B38B1"/>
    <w:rsid w:val="008B3A33"/>
    <w:rsid w:val="008B3BC4"/>
    <w:rsid w:val="008B41BF"/>
    <w:rsid w:val="008B45AA"/>
    <w:rsid w:val="008B4889"/>
    <w:rsid w:val="008B4B7C"/>
    <w:rsid w:val="008B4D69"/>
    <w:rsid w:val="008B4DC5"/>
    <w:rsid w:val="008B4E75"/>
    <w:rsid w:val="008B4FE4"/>
    <w:rsid w:val="008B5033"/>
    <w:rsid w:val="008B534E"/>
    <w:rsid w:val="008B53C6"/>
    <w:rsid w:val="008B5400"/>
    <w:rsid w:val="008B552D"/>
    <w:rsid w:val="008B55A7"/>
    <w:rsid w:val="008B5776"/>
    <w:rsid w:val="008B5BBE"/>
    <w:rsid w:val="008B5D6A"/>
    <w:rsid w:val="008B5E4E"/>
    <w:rsid w:val="008B5F2D"/>
    <w:rsid w:val="008B617E"/>
    <w:rsid w:val="008B648B"/>
    <w:rsid w:val="008B6DFC"/>
    <w:rsid w:val="008B7351"/>
    <w:rsid w:val="008B7872"/>
    <w:rsid w:val="008B796C"/>
    <w:rsid w:val="008B79F9"/>
    <w:rsid w:val="008B7CBD"/>
    <w:rsid w:val="008C0109"/>
    <w:rsid w:val="008C03B4"/>
    <w:rsid w:val="008C05D2"/>
    <w:rsid w:val="008C07CA"/>
    <w:rsid w:val="008C07D0"/>
    <w:rsid w:val="008C07D4"/>
    <w:rsid w:val="008C0A62"/>
    <w:rsid w:val="008C0CBD"/>
    <w:rsid w:val="008C10A4"/>
    <w:rsid w:val="008C10B0"/>
    <w:rsid w:val="008C12C9"/>
    <w:rsid w:val="008C1374"/>
    <w:rsid w:val="008C1653"/>
    <w:rsid w:val="008C1B8D"/>
    <w:rsid w:val="008C2086"/>
    <w:rsid w:val="008C20DA"/>
    <w:rsid w:val="008C21AF"/>
    <w:rsid w:val="008C225B"/>
    <w:rsid w:val="008C243D"/>
    <w:rsid w:val="008C250D"/>
    <w:rsid w:val="008C25D3"/>
    <w:rsid w:val="008C27E1"/>
    <w:rsid w:val="008C2991"/>
    <w:rsid w:val="008C2BB2"/>
    <w:rsid w:val="008C2E4C"/>
    <w:rsid w:val="008C2F60"/>
    <w:rsid w:val="008C30CB"/>
    <w:rsid w:val="008C3724"/>
    <w:rsid w:val="008C380D"/>
    <w:rsid w:val="008C3A39"/>
    <w:rsid w:val="008C3C16"/>
    <w:rsid w:val="008C3C5B"/>
    <w:rsid w:val="008C3D96"/>
    <w:rsid w:val="008C4303"/>
    <w:rsid w:val="008C438F"/>
    <w:rsid w:val="008C4470"/>
    <w:rsid w:val="008C45E4"/>
    <w:rsid w:val="008C466A"/>
    <w:rsid w:val="008C46B6"/>
    <w:rsid w:val="008C48E7"/>
    <w:rsid w:val="008C49CE"/>
    <w:rsid w:val="008C4B5D"/>
    <w:rsid w:val="008C4F7A"/>
    <w:rsid w:val="008C50CD"/>
    <w:rsid w:val="008C53CE"/>
    <w:rsid w:val="008C54C2"/>
    <w:rsid w:val="008C54C8"/>
    <w:rsid w:val="008C553C"/>
    <w:rsid w:val="008C584B"/>
    <w:rsid w:val="008C5DBF"/>
    <w:rsid w:val="008C5E59"/>
    <w:rsid w:val="008C6004"/>
    <w:rsid w:val="008C6006"/>
    <w:rsid w:val="008C60A2"/>
    <w:rsid w:val="008C63F9"/>
    <w:rsid w:val="008C67B0"/>
    <w:rsid w:val="008C6BA4"/>
    <w:rsid w:val="008C6F9F"/>
    <w:rsid w:val="008C723A"/>
    <w:rsid w:val="008C752E"/>
    <w:rsid w:val="008C75B0"/>
    <w:rsid w:val="008C7A01"/>
    <w:rsid w:val="008C7A6C"/>
    <w:rsid w:val="008C7A80"/>
    <w:rsid w:val="008C7CF6"/>
    <w:rsid w:val="008C7D11"/>
    <w:rsid w:val="008C7DAA"/>
    <w:rsid w:val="008C7F6A"/>
    <w:rsid w:val="008D034C"/>
    <w:rsid w:val="008D04B4"/>
    <w:rsid w:val="008D0670"/>
    <w:rsid w:val="008D0EAB"/>
    <w:rsid w:val="008D0F27"/>
    <w:rsid w:val="008D0F54"/>
    <w:rsid w:val="008D0F5F"/>
    <w:rsid w:val="008D0FD1"/>
    <w:rsid w:val="008D110C"/>
    <w:rsid w:val="008D1230"/>
    <w:rsid w:val="008D1603"/>
    <w:rsid w:val="008D17A0"/>
    <w:rsid w:val="008D1909"/>
    <w:rsid w:val="008D1D38"/>
    <w:rsid w:val="008D1D6C"/>
    <w:rsid w:val="008D1ED8"/>
    <w:rsid w:val="008D2010"/>
    <w:rsid w:val="008D2022"/>
    <w:rsid w:val="008D21D0"/>
    <w:rsid w:val="008D2276"/>
    <w:rsid w:val="008D246D"/>
    <w:rsid w:val="008D2474"/>
    <w:rsid w:val="008D277A"/>
    <w:rsid w:val="008D27F6"/>
    <w:rsid w:val="008D2D9A"/>
    <w:rsid w:val="008D302C"/>
    <w:rsid w:val="008D31F7"/>
    <w:rsid w:val="008D3450"/>
    <w:rsid w:val="008D352E"/>
    <w:rsid w:val="008D3A62"/>
    <w:rsid w:val="008D3ABD"/>
    <w:rsid w:val="008D3C53"/>
    <w:rsid w:val="008D401E"/>
    <w:rsid w:val="008D4187"/>
    <w:rsid w:val="008D4292"/>
    <w:rsid w:val="008D4353"/>
    <w:rsid w:val="008D489D"/>
    <w:rsid w:val="008D4A11"/>
    <w:rsid w:val="008D4A95"/>
    <w:rsid w:val="008D4D17"/>
    <w:rsid w:val="008D4EF2"/>
    <w:rsid w:val="008D4FD3"/>
    <w:rsid w:val="008D5040"/>
    <w:rsid w:val="008D59C6"/>
    <w:rsid w:val="008D5B12"/>
    <w:rsid w:val="008D5B2D"/>
    <w:rsid w:val="008D5B6C"/>
    <w:rsid w:val="008D6031"/>
    <w:rsid w:val="008D608A"/>
    <w:rsid w:val="008D62B2"/>
    <w:rsid w:val="008D6661"/>
    <w:rsid w:val="008D6C81"/>
    <w:rsid w:val="008D7191"/>
    <w:rsid w:val="008D71B3"/>
    <w:rsid w:val="008D7B35"/>
    <w:rsid w:val="008D7B55"/>
    <w:rsid w:val="008E046E"/>
    <w:rsid w:val="008E0489"/>
    <w:rsid w:val="008E0521"/>
    <w:rsid w:val="008E05D0"/>
    <w:rsid w:val="008E063D"/>
    <w:rsid w:val="008E0882"/>
    <w:rsid w:val="008E0B25"/>
    <w:rsid w:val="008E0EC0"/>
    <w:rsid w:val="008E1326"/>
    <w:rsid w:val="008E14D8"/>
    <w:rsid w:val="008E14DF"/>
    <w:rsid w:val="008E1619"/>
    <w:rsid w:val="008E17AD"/>
    <w:rsid w:val="008E18B3"/>
    <w:rsid w:val="008E194A"/>
    <w:rsid w:val="008E1D17"/>
    <w:rsid w:val="008E1FB6"/>
    <w:rsid w:val="008E23A0"/>
    <w:rsid w:val="008E2430"/>
    <w:rsid w:val="008E2638"/>
    <w:rsid w:val="008E26A1"/>
    <w:rsid w:val="008E2845"/>
    <w:rsid w:val="008E28F8"/>
    <w:rsid w:val="008E2919"/>
    <w:rsid w:val="008E2B29"/>
    <w:rsid w:val="008E2C03"/>
    <w:rsid w:val="008E2D4C"/>
    <w:rsid w:val="008E2D7A"/>
    <w:rsid w:val="008E3848"/>
    <w:rsid w:val="008E3A19"/>
    <w:rsid w:val="008E3C90"/>
    <w:rsid w:val="008E3E89"/>
    <w:rsid w:val="008E444D"/>
    <w:rsid w:val="008E48ED"/>
    <w:rsid w:val="008E4A18"/>
    <w:rsid w:val="008E5020"/>
    <w:rsid w:val="008E5171"/>
    <w:rsid w:val="008E5257"/>
    <w:rsid w:val="008E5408"/>
    <w:rsid w:val="008E5425"/>
    <w:rsid w:val="008E5898"/>
    <w:rsid w:val="008E5B4F"/>
    <w:rsid w:val="008E5C39"/>
    <w:rsid w:val="008E5DEB"/>
    <w:rsid w:val="008E5E05"/>
    <w:rsid w:val="008E5EB5"/>
    <w:rsid w:val="008E6095"/>
    <w:rsid w:val="008E638D"/>
    <w:rsid w:val="008E66EF"/>
    <w:rsid w:val="008E66F9"/>
    <w:rsid w:val="008E692E"/>
    <w:rsid w:val="008E6AFD"/>
    <w:rsid w:val="008E6C13"/>
    <w:rsid w:val="008E6E27"/>
    <w:rsid w:val="008E6EAA"/>
    <w:rsid w:val="008E6EAC"/>
    <w:rsid w:val="008E7172"/>
    <w:rsid w:val="008E7446"/>
    <w:rsid w:val="008E74E7"/>
    <w:rsid w:val="008E76D6"/>
    <w:rsid w:val="008E79BB"/>
    <w:rsid w:val="008E7A16"/>
    <w:rsid w:val="008E7A36"/>
    <w:rsid w:val="008E7ED8"/>
    <w:rsid w:val="008E7FE8"/>
    <w:rsid w:val="008F01B6"/>
    <w:rsid w:val="008F04C9"/>
    <w:rsid w:val="008F0A9D"/>
    <w:rsid w:val="008F0D3B"/>
    <w:rsid w:val="008F0F5C"/>
    <w:rsid w:val="008F1357"/>
    <w:rsid w:val="008F14C4"/>
    <w:rsid w:val="008F1517"/>
    <w:rsid w:val="008F15F6"/>
    <w:rsid w:val="008F161E"/>
    <w:rsid w:val="008F17C0"/>
    <w:rsid w:val="008F19EC"/>
    <w:rsid w:val="008F1B4A"/>
    <w:rsid w:val="008F1BCF"/>
    <w:rsid w:val="008F21A8"/>
    <w:rsid w:val="008F2374"/>
    <w:rsid w:val="008F2745"/>
    <w:rsid w:val="008F28E7"/>
    <w:rsid w:val="008F28F6"/>
    <w:rsid w:val="008F2A26"/>
    <w:rsid w:val="008F2B4B"/>
    <w:rsid w:val="008F2E19"/>
    <w:rsid w:val="008F2F6A"/>
    <w:rsid w:val="008F3021"/>
    <w:rsid w:val="008F3B11"/>
    <w:rsid w:val="008F3B13"/>
    <w:rsid w:val="008F3B71"/>
    <w:rsid w:val="008F3E01"/>
    <w:rsid w:val="008F4242"/>
    <w:rsid w:val="008F433A"/>
    <w:rsid w:val="008F44A3"/>
    <w:rsid w:val="008F45FE"/>
    <w:rsid w:val="008F49B0"/>
    <w:rsid w:val="008F49B8"/>
    <w:rsid w:val="008F4CA6"/>
    <w:rsid w:val="008F5274"/>
    <w:rsid w:val="008F55A8"/>
    <w:rsid w:val="008F5B9F"/>
    <w:rsid w:val="008F5C2F"/>
    <w:rsid w:val="008F61E7"/>
    <w:rsid w:val="008F6228"/>
    <w:rsid w:val="008F6687"/>
    <w:rsid w:val="008F68AE"/>
    <w:rsid w:val="008F6A04"/>
    <w:rsid w:val="008F6DF1"/>
    <w:rsid w:val="008F7270"/>
    <w:rsid w:val="008F72A4"/>
    <w:rsid w:val="008F7765"/>
    <w:rsid w:val="0090018F"/>
    <w:rsid w:val="00900658"/>
    <w:rsid w:val="0090089D"/>
    <w:rsid w:val="0090097E"/>
    <w:rsid w:val="00900C28"/>
    <w:rsid w:val="00901783"/>
    <w:rsid w:val="00901ADB"/>
    <w:rsid w:val="00901D94"/>
    <w:rsid w:val="009024EB"/>
    <w:rsid w:val="0090250C"/>
    <w:rsid w:val="009026DB"/>
    <w:rsid w:val="00902AC0"/>
    <w:rsid w:val="00902B0B"/>
    <w:rsid w:val="00902B91"/>
    <w:rsid w:val="00902D61"/>
    <w:rsid w:val="00902E46"/>
    <w:rsid w:val="00902E5A"/>
    <w:rsid w:val="00902FF3"/>
    <w:rsid w:val="00903021"/>
    <w:rsid w:val="0090304A"/>
    <w:rsid w:val="0090308D"/>
    <w:rsid w:val="00903120"/>
    <w:rsid w:val="00903287"/>
    <w:rsid w:val="0090353F"/>
    <w:rsid w:val="00903690"/>
    <w:rsid w:val="00903DDE"/>
    <w:rsid w:val="00903EFC"/>
    <w:rsid w:val="00903FF2"/>
    <w:rsid w:val="0090423A"/>
    <w:rsid w:val="00904424"/>
    <w:rsid w:val="00904505"/>
    <w:rsid w:val="00904516"/>
    <w:rsid w:val="00904CEB"/>
    <w:rsid w:val="0090514B"/>
    <w:rsid w:val="00905387"/>
    <w:rsid w:val="009054D1"/>
    <w:rsid w:val="0090552D"/>
    <w:rsid w:val="009057E8"/>
    <w:rsid w:val="0090598C"/>
    <w:rsid w:val="00905EEA"/>
    <w:rsid w:val="00906292"/>
    <w:rsid w:val="009062A1"/>
    <w:rsid w:val="009067FA"/>
    <w:rsid w:val="00906BCB"/>
    <w:rsid w:val="009074A5"/>
    <w:rsid w:val="009077BE"/>
    <w:rsid w:val="00907851"/>
    <w:rsid w:val="00907A15"/>
    <w:rsid w:val="00910921"/>
    <w:rsid w:val="00910C94"/>
    <w:rsid w:val="00910E23"/>
    <w:rsid w:val="00910E33"/>
    <w:rsid w:val="00910E78"/>
    <w:rsid w:val="009117AA"/>
    <w:rsid w:val="00911930"/>
    <w:rsid w:val="00911B07"/>
    <w:rsid w:val="00911B8F"/>
    <w:rsid w:val="00911DAE"/>
    <w:rsid w:val="0091219A"/>
    <w:rsid w:val="00912314"/>
    <w:rsid w:val="00912413"/>
    <w:rsid w:val="009124CC"/>
    <w:rsid w:val="0091276B"/>
    <w:rsid w:val="00912C43"/>
    <w:rsid w:val="00912C48"/>
    <w:rsid w:val="00912CF1"/>
    <w:rsid w:val="00912D2D"/>
    <w:rsid w:val="00912D62"/>
    <w:rsid w:val="00913178"/>
    <w:rsid w:val="00913356"/>
    <w:rsid w:val="009133B4"/>
    <w:rsid w:val="00913518"/>
    <w:rsid w:val="009137DE"/>
    <w:rsid w:val="00913BBC"/>
    <w:rsid w:val="00913C3A"/>
    <w:rsid w:val="00913D14"/>
    <w:rsid w:val="0091482A"/>
    <w:rsid w:val="00914912"/>
    <w:rsid w:val="00914A69"/>
    <w:rsid w:val="00914AB3"/>
    <w:rsid w:val="00914B44"/>
    <w:rsid w:val="00914B5C"/>
    <w:rsid w:val="00914D84"/>
    <w:rsid w:val="00914DA8"/>
    <w:rsid w:val="00915107"/>
    <w:rsid w:val="009151B7"/>
    <w:rsid w:val="0091525E"/>
    <w:rsid w:val="0091530A"/>
    <w:rsid w:val="009157A0"/>
    <w:rsid w:val="00915848"/>
    <w:rsid w:val="00915B00"/>
    <w:rsid w:val="00915FF1"/>
    <w:rsid w:val="009161D3"/>
    <w:rsid w:val="0091637C"/>
    <w:rsid w:val="0091684E"/>
    <w:rsid w:val="00916932"/>
    <w:rsid w:val="00916BF4"/>
    <w:rsid w:val="0091725F"/>
    <w:rsid w:val="0091762C"/>
    <w:rsid w:val="0091790C"/>
    <w:rsid w:val="00917BE4"/>
    <w:rsid w:val="00917BE5"/>
    <w:rsid w:val="00917FA0"/>
    <w:rsid w:val="009202F5"/>
    <w:rsid w:val="009205D7"/>
    <w:rsid w:val="009205F0"/>
    <w:rsid w:val="0092063D"/>
    <w:rsid w:val="009209A1"/>
    <w:rsid w:val="00920C93"/>
    <w:rsid w:val="00920D07"/>
    <w:rsid w:val="00920D21"/>
    <w:rsid w:val="00920DB1"/>
    <w:rsid w:val="00920FF1"/>
    <w:rsid w:val="0092107A"/>
    <w:rsid w:val="009210AA"/>
    <w:rsid w:val="00921250"/>
    <w:rsid w:val="00921A13"/>
    <w:rsid w:val="00921B74"/>
    <w:rsid w:val="00921BA4"/>
    <w:rsid w:val="00922094"/>
    <w:rsid w:val="009220BB"/>
    <w:rsid w:val="00922184"/>
    <w:rsid w:val="00922457"/>
    <w:rsid w:val="009224DF"/>
    <w:rsid w:val="0092270F"/>
    <w:rsid w:val="00922793"/>
    <w:rsid w:val="00922870"/>
    <w:rsid w:val="009228C5"/>
    <w:rsid w:val="00922A62"/>
    <w:rsid w:val="00922C6C"/>
    <w:rsid w:val="00923028"/>
    <w:rsid w:val="0092347F"/>
    <w:rsid w:val="0092374A"/>
    <w:rsid w:val="00923ECF"/>
    <w:rsid w:val="00923F71"/>
    <w:rsid w:val="009240B9"/>
    <w:rsid w:val="0092433D"/>
    <w:rsid w:val="00924448"/>
    <w:rsid w:val="009247D5"/>
    <w:rsid w:val="0092483B"/>
    <w:rsid w:val="00924A9E"/>
    <w:rsid w:val="00924ADA"/>
    <w:rsid w:val="00924BD6"/>
    <w:rsid w:val="00924D5F"/>
    <w:rsid w:val="00924EC1"/>
    <w:rsid w:val="00924F62"/>
    <w:rsid w:val="00925025"/>
    <w:rsid w:val="009251F9"/>
    <w:rsid w:val="0092527D"/>
    <w:rsid w:val="0092530A"/>
    <w:rsid w:val="00925342"/>
    <w:rsid w:val="009256B6"/>
    <w:rsid w:val="009258CC"/>
    <w:rsid w:val="00925ED2"/>
    <w:rsid w:val="00926092"/>
    <w:rsid w:val="0092613E"/>
    <w:rsid w:val="009262DD"/>
    <w:rsid w:val="00926451"/>
    <w:rsid w:val="00926701"/>
    <w:rsid w:val="00926953"/>
    <w:rsid w:val="00926DD4"/>
    <w:rsid w:val="00926E60"/>
    <w:rsid w:val="00927112"/>
    <w:rsid w:val="0092744A"/>
    <w:rsid w:val="00927500"/>
    <w:rsid w:val="009279E2"/>
    <w:rsid w:val="00927AAF"/>
    <w:rsid w:val="00927AD6"/>
    <w:rsid w:val="00927BAB"/>
    <w:rsid w:val="00927BC3"/>
    <w:rsid w:val="00930207"/>
    <w:rsid w:val="009303B7"/>
    <w:rsid w:val="0093045C"/>
    <w:rsid w:val="009304B1"/>
    <w:rsid w:val="00930597"/>
    <w:rsid w:val="009307A5"/>
    <w:rsid w:val="0093085B"/>
    <w:rsid w:val="00930B07"/>
    <w:rsid w:val="00930EEA"/>
    <w:rsid w:val="00930F0D"/>
    <w:rsid w:val="009310F1"/>
    <w:rsid w:val="00931471"/>
    <w:rsid w:val="009318A2"/>
    <w:rsid w:val="009318DC"/>
    <w:rsid w:val="00931E2E"/>
    <w:rsid w:val="00931F3F"/>
    <w:rsid w:val="00931F62"/>
    <w:rsid w:val="00931FE6"/>
    <w:rsid w:val="0093274D"/>
    <w:rsid w:val="00932AA8"/>
    <w:rsid w:val="00932BA0"/>
    <w:rsid w:val="00932DEE"/>
    <w:rsid w:val="00932DF2"/>
    <w:rsid w:val="00932F65"/>
    <w:rsid w:val="0093339F"/>
    <w:rsid w:val="009333CD"/>
    <w:rsid w:val="00933494"/>
    <w:rsid w:val="009338E9"/>
    <w:rsid w:val="00933A3B"/>
    <w:rsid w:val="00933CD6"/>
    <w:rsid w:val="00933CE9"/>
    <w:rsid w:val="00933CED"/>
    <w:rsid w:val="009345D7"/>
    <w:rsid w:val="00934AD0"/>
    <w:rsid w:val="00934E31"/>
    <w:rsid w:val="00934F55"/>
    <w:rsid w:val="00935429"/>
    <w:rsid w:val="00935539"/>
    <w:rsid w:val="009359F1"/>
    <w:rsid w:val="00935CA5"/>
    <w:rsid w:val="00935D76"/>
    <w:rsid w:val="00936031"/>
    <w:rsid w:val="0093605B"/>
    <w:rsid w:val="0093609B"/>
    <w:rsid w:val="00936426"/>
    <w:rsid w:val="00936517"/>
    <w:rsid w:val="00936528"/>
    <w:rsid w:val="0093654F"/>
    <w:rsid w:val="00936994"/>
    <w:rsid w:val="00936E42"/>
    <w:rsid w:val="00936E57"/>
    <w:rsid w:val="00936EB7"/>
    <w:rsid w:val="00936F0F"/>
    <w:rsid w:val="00936F2B"/>
    <w:rsid w:val="00937026"/>
    <w:rsid w:val="009370CB"/>
    <w:rsid w:val="00937207"/>
    <w:rsid w:val="009372E7"/>
    <w:rsid w:val="0093773F"/>
    <w:rsid w:val="00937837"/>
    <w:rsid w:val="009379F2"/>
    <w:rsid w:val="00937C3E"/>
    <w:rsid w:val="00937E3F"/>
    <w:rsid w:val="00937F36"/>
    <w:rsid w:val="00937F45"/>
    <w:rsid w:val="00940133"/>
    <w:rsid w:val="009401AF"/>
    <w:rsid w:val="00940242"/>
    <w:rsid w:val="009404AA"/>
    <w:rsid w:val="00940671"/>
    <w:rsid w:val="009406B5"/>
    <w:rsid w:val="00940CEF"/>
    <w:rsid w:val="0094129E"/>
    <w:rsid w:val="00941575"/>
    <w:rsid w:val="00941A5A"/>
    <w:rsid w:val="00941D93"/>
    <w:rsid w:val="00941F90"/>
    <w:rsid w:val="0094249F"/>
    <w:rsid w:val="00942526"/>
    <w:rsid w:val="00942676"/>
    <w:rsid w:val="009426D2"/>
    <w:rsid w:val="00942738"/>
    <w:rsid w:val="00942C0F"/>
    <w:rsid w:val="00942CF6"/>
    <w:rsid w:val="00942E04"/>
    <w:rsid w:val="00943241"/>
    <w:rsid w:val="00943B8B"/>
    <w:rsid w:val="0094403A"/>
    <w:rsid w:val="009441A4"/>
    <w:rsid w:val="00944785"/>
    <w:rsid w:val="00944820"/>
    <w:rsid w:val="00944A8A"/>
    <w:rsid w:val="00944DCF"/>
    <w:rsid w:val="00945303"/>
    <w:rsid w:val="0094582E"/>
    <w:rsid w:val="00945A9D"/>
    <w:rsid w:val="0094676B"/>
    <w:rsid w:val="009467B6"/>
    <w:rsid w:val="00946B20"/>
    <w:rsid w:val="00946C2A"/>
    <w:rsid w:val="00946C88"/>
    <w:rsid w:val="00946E46"/>
    <w:rsid w:val="0094713A"/>
    <w:rsid w:val="00947437"/>
    <w:rsid w:val="0094746F"/>
    <w:rsid w:val="00947489"/>
    <w:rsid w:val="00947A28"/>
    <w:rsid w:val="00947F98"/>
    <w:rsid w:val="00950259"/>
    <w:rsid w:val="009503CF"/>
    <w:rsid w:val="00950663"/>
    <w:rsid w:val="009506FB"/>
    <w:rsid w:val="00950C85"/>
    <w:rsid w:val="00950CD9"/>
    <w:rsid w:val="00950D92"/>
    <w:rsid w:val="00950F32"/>
    <w:rsid w:val="0095105E"/>
    <w:rsid w:val="00951439"/>
    <w:rsid w:val="009515FF"/>
    <w:rsid w:val="0095161D"/>
    <w:rsid w:val="0095172C"/>
    <w:rsid w:val="00951876"/>
    <w:rsid w:val="0095189C"/>
    <w:rsid w:val="00951948"/>
    <w:rsid w:val="009519C6"/>
    <w:rsid w:val="00951AA2"/>
    <w:rsid w:val="00951DD6"/>
    <w:rsid w:val="00952065"/>
    <w:rsid w:val="00952592"/>
    <w:rsid w:val="00952B56"/>
    <w:rsid w:val="00952D93"/>
    <w:rsid w:val="00952EC8"/>
    <w:rsid w:val="00952FE9"/>
    <w:rsid w:val="0095369B"/>
    <w:rsid w:val="0095399D"/>
    <w:rsid w:val="0095401F"/>
    <w:rsid w:val="009540CD"/>
    <w:rsid w:val="009541DC"/>
    <w:rsid w:val="00954642"/>
    <w:rsid w:val="009546E2"/>
    <w:rsid w:val="00955240"/>
    <w:rsid w:val="009554C2"/>
    <w:rsid w:val="009556A7"/>
    <w:rsid w:val="00955A25"/>
    <w:rsid w:val="00955E6D"/>
    <w:rsid w:val="00956242"/>
    <w:rsid w:val="00956357"/>
    <w:rsid w:val="009567A8"/>
    <w:rsid w:val="00956920"/>
    <w:rsid w:val="00956947"/>
    <w:rsid w:val="00956DEE"/>
    <w:rsid w:val="0095710A"/>
    <w:rsid w:val="0095717D"/>
    <w:rsid w:val="00957187"/>
    <w:rsid w:val="0095740D"/>
    <w:rsid w:val="00957560"/>
    <w:rsid w:val="009576B6"/>
    <w:rsid w:val="009602D6"/>
    <w:rsid w:val="00960C9B"/>
    <w:rsid w:val="00960E0A"/>
    <w:rsid w:val="00960E25"/>
    <w:rsid w:val="00960E63"/>
    <w:rsid w:val="00960EBD"/>
    <w:rsid w:val="0096117B"/>
    <w:rsid w:val="0096127B"/>
    <w:rsid w:val="00961975"/>
    <w:rsid w:val="009619EB"/>
    <w:rsid w:val="00961ABA"/>
    <w:rsid w:val="00962328"/>
    <w:rsid w:val="00962359"/>
    <w:rsid w:val="009623A5"/>
    <w:rsid w:val="00962668"/>
    <w:rsid w:val="0096290D"/>
    <w:rsid w:val="00962A74"/>
    <w:rsid w:val="00962AC1"/>
    <w:rsid w:val="00962AE5"/>
    <w:rsid w:val="00962BFE"/>
    <w:rsid w:val="00962C3D"/>
    <w:rsid w:val="00962F91"/>
    <w:rsid w:val="0096307C"/>
    <w:rsid w:val="009634E6"/>
    <w:rsid w:val="00963BA9"/>
    <w:rsid w:val="00963C9E"/>
    <w:rsid w:val="00963F03"/>
    <w:rsid w:val="00963F29"/>
    <w:rsid w:val="00963F75"/>
    <w:rsid w:val="00964A77"/>
    <w:rsid w:val="00964B9F"/>
    <w:rsid w:val="00964D8B"/>
    <w:rsid w:val="009662E6"/>
    <w:rsid w:val="009663BE"/>
    <w:rsid w:val="00966581"/>
    <w:rsid w:val="009669C7"/>
    <w:rsid w:val="00966C3B"/>
    <w:rsid w:val="00966D5D"/>
    <w:rsid w:val="00967086"/>
    <w:rsid w:val="00967280"/>
    <w:rsid w:val="009672CC"/>
    <w:rsid w:val="0096781D"/>
    <w:rsid w:val="0096782D"/>
    <w:rsid w:val="00970059"/>
    <w:rsid w:val="0097014F"/>
    <w:rsid w:val="0097034E"/>
    <w:rsid w:val="00970652"/>
    <w:rsid w:val="009706C0"/>
    <w:rsid w:val="00970718"/>
    <w:rsid w:val="00970978"/>
    <w:rsid w:val="00970B03"/>
    <w:rsid w:val="00970CB7"/>
    <w:rsid w:val="00970CF7"/>
    <w:rsid w:val="00970E2E"/>
    <w:rsid w:val="00970F89"/>
    <w:rsid w:val="00970FB3"/>
    <w:rsid w:val="00971044"/>
    <w:rsid w:val="009714FE"/>
    <w:rsid w:val="009717F4"/>
    <w:rsid w:val="00971DE7"/>
    <w:rsid w:val="00971FAC"/>
    <w:rsid w:val="009720FD"/>
    <w:rsid w:val="009723C2"/>
    <w:rsid w:val="0097246C"/>
    <w:rsid w:val="0097265E"/>
    <w:rsid w:val="0097266A"/>
    <w:rsid w:val="009726D5"/>
    <w:rsid w:val="009726E0"/>
    <w:rsid w:val="0097318C"/>
    <w:rsid w:val="009733EE"/>
    <w:rsid w:val="009734A1"/>
    <w:rsid w:val="0097354F"/>
    <w:rsid w:val="0097358B"/>
    <w:rsid w:val="00973648"/>
    <w:rsid w:val="00973664"/>
    <w:rsid w:val="0097372D"/>
    <w:rsid w:val="00973A00"/>
    <w:rsid w:val="00974135"/>
    <w:rsid w:val="00974470"/>
    <w:rsid w:val="009747EB"/>
    <w:rsid w:val="00974961"/>
    <w:rsid w:val="00974BCA"/>
    <w:rsid w:val="00974C8A"/>
    <w:rsid w:val="00974DBE"/>
    <w:rsid w:val="00974DCA"/>
    <w:rsid w:val="00974EA5"/>
    <w:rsid w:val="00974F42"/>
    <w:rsid w:val="00974FFA"/>
    <w:rsid w:val="00975053"/>
    <w:rsid w:val="009755C9"/>
    <w:rsid w:val="00975AE5"/>
    <w:rsid w:val="00975B1D"/>
    <w:rsid w:val="00975BE9"/>
    <w:rsid w:val="00975C1F"/>
    <w:rsid w:val="00975DDC"/>
    <w:rsid w:val="00975E5E"/>
    <w:rsid w:val="00975EBC"/>
    <w:rsid w:val="0097659A"/>
    <w:rsid w:val="0097680E"/>
    <w:rsid w:val="009768AF"/>
    <w:rsid w:val="00976C4C"/>
    <w:rsid w:val="00976EC3"/>
    <w:rsid w:val="009779AC"/>
    <w:rsid w:val="009779F8"/>
    <w:rsid w:val="00977C06"/>
    <w:rsid w:val="00977E51"/>
    <w:rsid w:val="00977EC8"/>
    <w:rsid w:val="00977EDA"/>
    <w:rsid w:val="00977F44"/>
    <w:rsid w:val="009803AA"/>
    <w:rsid w:val="009808DA"/>
    <w:rsid w:val="00980DB7"/>
    <w:rsid w:val="00980E16"/>
    <w:rsid w:val="00980FFF"/>
    <w:rsid w:val="00981343"/>
    <w:rsid w:val="0098151D"/>
    <w:rsid w:val="009816A5"/>
    <w:rsid w:val="00981B43"/>
    <w:rsid w:val="00981BF0"/>
    <w:rsid w:val="00981D34"/>
    <w:rsid w:val="00981DE1"/>
    <w:rsid w:val="0098206E"/>
    <w:rsid w:val="00982615"/>
    <w:rsid w:val="00982810"/>
    <w:rsid w:val="00982949"/>
    <w:rsid w:val="00982D35"/>
    <w:rsid w:val="00982D85"/>
    <w:rsid w:val="00982EA8"/>
    <w:rsid w:val="009833D7"/>
    <w:rsid w:val="00983690"/>
    <w:rsid w:val="00983C80"/>
    <w:rsid w:val="00983EE0"/>
    <w:rsid w:val="009840A4"/>
    <w:rsid w:val="009840D8"/>
    <w:rsid w:val="00984178"/>
    <w:rsid w:val="0098456D"/>
    <w:rsid w:val="0098524C"/>
    <w:rsid w:val="009852A4"/>
    <w:rsid w:val="0098530A"/>
    <w:rsid w:val="0098589B"/>
    <w:rsid w:val="00985986"/>
    <w:rsid w:val="00985B4A"/>
    <w:rsid w:val="00985C99"/>
    <w:rsid w:val="009865AF"/>
    <w:rsid w:val="00986709"/>
    <w:rsid w:val="00986850"/>
    <w:rsid w:val="0098685F"/>
    <w:rsid w:val="0098737D"/>
    <w:rsid w:val="009873E0"/>
    <w:rsid w:val="00987581"/>
    <w:rsid w:val="00987914"/>
    <w:rsid w:val="00987A2C"/>
    <w:rsid w:val="00987AEF"/>
    <w:rsid w:val="00987D36"/>
    <w:rsid w:val="00987E07"/>
    <w:rsid w:val="0099009C"/>
    <w:rsid w:val="0099017F"/>
    <w:rsid w:val="009903C3"/>
    <w:rsid w:val="00990501"/>
    <w:rsid w:val="009905FC"/>
    <w:rsid w:val="009906ED"/>
    <w:rsid w:val="00990BC1"/>
    <w:rsid w:val="00990C91"/>
    <w:rsid w:val="00990C94"/>
    <w:rsid w:val="0099126B"/>
    <w:rsid w:val="009912FF"/>
    <w:rsid w:val="00991B00"/>
    <w:rsid w:val="00991E05"/>
    <w:rsid w:val="00991F4D"/>
    <w:rsid w:val="0099215C"/>
    <w:rsid w:val="0099237D"/>
    <w:rsid w:val="0099238C"/>
    <w:rsid w:val="00992455"/>
    <w:rsid w:val="00993193"/>
    <w:rsid w:val="009932C5"/>
    <w:rsid w:val="009934FE"/>
    <w:rsid w:val="0099388D"/>
    <w:rsid w:val="00993AF6"/>
    <w:rsid w:val="009940BB"/>
    <w:rsid w:val="0099437F"/>
    <w:rsid w:val="009944B7"/>
    <w:rsid w:val="009945F9"/>
    <w:rsid w:val="009946D0"/>
    <w:rsid w:val="00994799"/>
    <w:rsid w:val="00994869"/>
    <w:rsid w:val="009948F3"/>
    <w:rsid w:val="00994BF9"/>
    <w:rsid w:val="009950F9"/>
    <w:rsid w:val="0099522E"/>
    <w:rsid w:val="00995740"/>
    <w:rsid w:val="00995A21"/>
    <w:rsid w:val="00995F39"/>
    <w:rsid w:val="0099607A"/>
    <w:rsid w:val="009964CB"/>
    <w:rsid w:val="00996889"/>
    <w:rsid w:val="00996CF0"/>
    <w:rsid w:val="00996F9E"/>
    <w:rsid w:val="0099719F"/>
    <w:rsid w:val="0099739A"/>
    <w:rsid w:val="00997463"/>
    <w:rsid w:val="0099768D"/>
    <w:rsid w:val="009979B5"/>
    <w:rsid w:val="00997BA2"/>
    <w:rsid w:val="00997F79"/>
    <w:rsid w:val="009A013B"/>
    <w:rsid w:val="009A046B"/>
    <w:rsid w:val="009A0635"/>
    <w:rsid w:val="009A0775"/>
    <w:rsid w:val="009A0846"/>
    <w:rsid w:val="009A0A47"/>
    <w:rsid w:val="009A0B67"/>
    <w:rsid w:val="009A1085"/>
    <w:rsid w:val="009A11AD"/>
    <w:rsid w:val="009A1284"/>
    <w:rsid w:val="009A12CB"/>
    <w:rsid w:val="009A16E0"/>
    <w:rsid w:val="009A17E1"/>
    <w:rsid w:val="009A17F4"/>
    <w:rsid w:val="009A1829"/>
    <w:rsid w:val="009A1B01"/>
    <w:rsid w:val="009A1CD3"/>
    <w:rsid w:val="009A226D"/>
    <w:rsid w:val="009A2539"/>
    <w:rsid w:val="009A25DA"/>
    <w:rsid w:val="009A2AEA"/>
    <w:rsid w:val="009A2D81"/>
    <w:rsid w:val="009A2D9C"/>
    <w:rsid w:val="009A3191"/>
    <w:rsid w:val="009A32DD"/>
    <w:rsid w:val="009A350F"/>
    <w:rsid w:val="009A3625"/>
    <w:rsid w:val="009A36FB"/>
    <w:rsid w:val="009A3851"/>
    <w:rsid w:val="009A3D49"/>
    <w:rsid w:val="009A3F90"/>
    <w:rsid w:val="009A417D"/>
    <w:rsid w:val="009A4278"/>
    <w:rsid w:val="009A4660"/>
    <w:rsid w:val="009A48D7"/>
    <w:rsid w:val="009A4A7C"/>
    <w:rsid w:val="009A4B72"/>
    <w:rsid w:val="009A4EDF"/>
    <w:rsid w:val="009A5169"/>
    <w:rsid w:val="009A51B5"/>
    <w:rsid w:val="009A561C"/>
    <w:rsid w:val="009A593E"/>
    <w:rsid w:val="009A5950"/>
    <w:rsid w:val="009A5E63"/>
    <w:rsid w:val="009A5E7B"/>
    <w:rsid w:val="009A6254"/>
    <w:rsid w:val="009A67A1"/>
    <w:rsid w:val="009A690A"/>
    <w:rsid w:val="009A6B70"/>
    <w:rsid w:val="009A6F28"/>
    <w:rsid w:val="009A727F"/>
    <w:rsid w:val="009A7521"/>
    <w:rsid w:val="009A7770"/>
    <w:rsid w:val="009A7AB7"/>
    <w:rsid w:val="009A7C0E"/>
    <w:rsid w:val="009A7E2A"/>
    <w:rsid w:val="009A7EAC"/>
    <w:rsid w:val="009A7EB6"/>
    <w:rsid w:val="009A7F16"/>
    <w:rsid w:val="009A7FA0"/>
    <w:rsid w:val="009B0613"/>
    <w:rsid w:val="009B0D1E"/>
    <w:rsid w:val="009B0F66"/>
    <w:rsid w:val="009B107B"/>
    <w:rsid w:val="009B10C0"/>
    <w:rsid w:val="009B1A24"/>
    <w:rsid w:val="009B1C04"/>
    <w:rsid w:val="009B1C19"/>
    <w:rsid w:val="009B1D8A"/>
    <w:rsid w:val="009B1E7B"/>
    <w:rsid w:val="009B1F94"/>
    <w:rsid w:val="009B1FA0"/>
    <w:rsid w:val="009B2C16"/>
    <w:rsid w:val="009B3052"/>
    <w:rsid w:val="009B30AE"/>
    <w:rsid w:val="009B30BC"/>
    <w:rsid w:val="009B346E"/>
    <w:rsid w:val="009B3632"/>
    <w:rsid w:val="009B36CC"/>
    <w:rsid w:val="009B38BA"/>
    <w:rsid w:val="009B3ECB"/>
    <w:rsid w:val="009B3F24"/>
    <w:rsid w:val="009B445A"/>
    <w:rsid w:val="009B457F"/>
    <w:rsid w:val="009B45B7"/>
    <w:rsid w:val="009B481C"/>
    <w:rsid w:val="009B4832"/>
    <w:rsid w:val="009B4852"/>
    <w:rsid w:val="009B49F3"/>
    <w:rsid w:val="009B4A1A"/>
    <w:rsid w:val="009B4AAC"/>
    <w:rsid w:val="009B4C32"/>
    <w:rsid w:val="009B4E9B"/>
    <w:rsid w:val="009B4EA6"/>
    <w:rsid w:val="009B4FAE"/>
    <w:rsid w:val="009B524B"/>
    <w:rsid w:val="009B525F"/>
    <w:rsid w:val="009B5312"/>
    <w:rsid w:val="009B53B4"/>
    <w:rsid w:val="009B5A12"/>
    <w:rsid w:val="009B5B1C"/>
    <w:rsid w:val="009B5BAC"/>
    <w:rsid w:val="009B5C08"/>
    <w:rsid w:val="009B5D04"/>
    <w:rsid w:val="009B6031"/>
    <w:rsid w:val="009B6119"/>
    <w:rsid w:val="009B614F"/>
    <w:rsid w:val="009B619A"/>
    <w:rsid w:val="009B63A4"/>
    <w:rsid w:val="009B64BB"/>
    <w:rsid w:val="009B681F"/>
    <w:rsid w:val="009B68E3"/>
    <w:rsid w:val="009B68E4"/>
    <w:rsid w:val="009B6A65"/>
    <w:rsid w:val="009B6CFE"/>
    <w:rsid w:val="009B6DAB"/>
    <w:rsid w:val="009B7116"/>
    <w:rsid w:val="009B724C"/>
    <w:rsid w:val="009B73CB"/>
    <w:rsid w:val="009B782A"/>
    <w:rsid w:val="009B789C"/>
    <w:rsid w:val="009B7FE7"/>
    <w:rsid w:val="009C03D6"/>
    <w:rsid w:val="009C0415"/>
    <w:rsid w:val="009C0828"/>
    <w:rsid w:val="009C08F6"/>
    <w:rsid w:val="009C0A7D"/>
    <w:rsid w:val="009C0C78"/>
    <w:rsid w:val="009C108C"/>
    <w:rsid w:val="009C1216"/>
    <w:rsid w:val="009C129E"/>
    <w:rsid w:val="009C137E"/>
    <w:rsid w:val="009C14E1"/>
    <w:rsid w:val="009C150D"/>
    <w:rsid w:val="009C1FDA"/>
    <w:rsid w:val="009C211D"/>
    <w:rsid w:val="009C238B"/>
    <w:rsid w:val="009C26C9"/>
    <w:rsid w:val="009C284E"/>
    <w:rsid w:val="009C2988"/>
    <w:rsid w:val="009C2A52"/>
    <w:rsid w:val="009C2ADE"/>
    <w:rsid w:val="009C2FAA"/>
    <w:rsid w:val="009C3E58"/>
    <w:rsid w:val="009C3F43"/>
    <w:rsid w:val="009C3FCE"/>
    <w:rsid w:val="009C40A0"/>
    <w:rsid w:val="009C432B"/>
    <w:rsid w:val="009C4B02"/>
    <w:rsid w:val="009C4B17"/>
    <w:rsid w:val="009C5212"/>
    <w:rsid w:val="009C52D4"/>
    <w:rsid w:val="009C54D1"/>
    <w:rsid w:val="009C627C"/>
    <w:rsid w:val="009C6686"/>
    <w:rsid w:val="009C66EF"/>
    <w:rsid w:val="009C6A23"/>
    <w:rsid w:val="009C6A2C"/>
    <w:rsid w:val="009C6B2E"/>
    <w:rsid w:val="009C6C86"/>
    <w:rsid w:val="009C6F39"/>
    <w:rsid w:val="009C7445"/>
    <w:rsid w:val="009C74DB"/>
    <w:rsid w:val="009C7558"/>
    <w:rsid w:val="009C76FA"/>
    <w:rsid w:val="009C7929"/>
    <w:rsid w:val="009C796B"/>
    <w:rsid w:val="009C7A09"/>
    <w:rsid w:val="009C7B34"/>
    <w:rsid w:val="009C7BC6"/>
    <w:rsid w:val="009C7EEC"/>
    <w:rsid w:val="009C7FDB"/>
    <w:rsid w:val="009D01BC"/>
    <w:rsid w:val="009D083E"/>
    <w:rsid w:val="009D0BF1"/>
    <w:rsid w:val="009D0C73"/>
    <w:rsid w:val="009D0CDB"/>
    <w:rsid w:val="009D0DE9"/>
    <w:rsid w:val="009D0E9B"/>
    <w:rsid w:val="009D1163"/>
    <w:rsid w:val="009D12A9"/>
    <w:rsid w:val="009D1410"/>
    <w:rsid w:val="009D14E9"/>
    <w:rsid w:val="009D1902"/>
    <w:rsid w:val="009D1CF5"/>
    <w:rsid w:val="009D1D3C"/>
    <w:rsid w:val="009D2024"/>
    <w:rsid w:val="009D204B"/>
    <w:rsid w:val="009D20D2"/>
    <w:rsid w:val="009D2149"/>
    <w:rsid w:val="009D248C"/>
    <w:rsid w:val="009D2616"/>
    <w:rsid w:val="009D29EE"/>
    <w:rsid w:val="009D2DD5"/>
    <w:rsid w:val="009D34FF"/>
    <w:rsid w:val="009D389F"/>
    <w:rsid w:val="009D3BA9"/>
    <w:rsid w:val="009D3F64"/>
    <w:rsid w:val="009D454B"/>
    <w:rsid w:val="009D4607"/>
    <w:rsid w:val="009D4704"/>
    <w:rsid w:val="009D50CC"/>
    <w:rsid w:val="009D5157"/>
    <w:rsid w:val="009D5590"/>
    <w:rsid w:val="009D561F"/>
    <w:rsid w:val="009D56BE"/>
    <w:rsid w:val="009D5C2B"/>
    <w:rsid w:val="009D5DFC"/>
    <w:rsid w:val="009D5FDF"/>
    <w:rsid w:val="009D60A9"/>
    <w:rsid w:val="009D612D"/>
    <w:rsid w:val="009D6515"/>
    <w:rsid w:val="009D66E2"/>
    <w:rsid w:val="009D67BB"/>
    <w:rsid w:val="009D6944"/>
    <w:rsid w:val="009D696C"/>
    <w:rsid w:val="009D6AA0"/>
    <w:rsid w:val="009D6B2E"/>
    <w:rsid w:val="009D6B61"/>
    <w:rsid w:val="009D6FD5"/>
    <w:rsid w:val="009D7574"/>
    <w:rsid w:val="009D7A8A"/>
    <w:rsid w:val="009D7DA8"/>
    <w:rsid w:val="009D7F64"/>
    <w:rsid w:val="009D7FDF"/>
    <w:rsid w:val="009D7FEF"/>
    <w:rsid w:val="009E03F0"/>
    <w:rsid w:val="009E04C6"/>
    <w:rsid w:val="009E0C07"/>
    <w:rsid w:val="009E0C79"/>
    <w:rsid w:val="009E0D59"/>
    <w:rsid w:val="009E11B6"/>
    <w:rsid w:val="009E1285"/>
    <w:rsid w:val="009E146B"/>
    <w:rsid w:val="009E160A"/>
    <w:rsid w:val="009E1801"/>
    <w:rsid w:val="009E1A39"/>
    <w:rsid w:val="009E1AE6"/>
    <w:rsid w:val="009E1D14"/>
    <w:rsid w:val="009E1DA6"/>
    <w:rsid w:val="009E233F"/>
    <w:rsid w:val="009E236E"/>
    <w:rsid w:val="009E246D"/>
    <w:rsid w:val="009E248C"/>
    <w:rsid w:val="009E2615"/>
    <w:rsid w:val="009E2657"/>
    <w:rsid w:val="009E2696"/>
    <w:rsid w:val="009E2BF2"/>
    <w:rsid w:val="009E2CC6"/>
    <w:rsid w:val="009E33B6"/>
    <w:rsid w:val="009E33E1"/>
    <w:rsid w:val="009E3685"/>
    <w:rsid w:val="009E37EA"/>
    <w:rsid w:val="009E3ACA"/>
    <w:rsid w:val="009E3F65"/>
    <w:rsid w:val="009E4092"/>
    <w:rsid w:val="009E4093"/>
    <w:rsid w:val="009E4203"/>
    <w:rsid w:val="009E42FC"/>
    <w:rsid w:val="009E449C"/>
    <w:rsid w:val="009E4A71"/>
    <w:rsid w:val="009E4D87"/>
    <w:rsid w:val="009E4ED8"/>
    <w:rsid w:val="009E4F1F"/>
    <w:rsid w:val="009E549C"/>
    <w:rsid w:val="009E5769"/>
    <w:rsid w:val="009E58E7"/>
    <w:rsid w:val="009E59A5"/>
    <w:rsid w:val="009E5BB9"/>
    <w:rsid w:val="009E6197"/>
    <w:rsid w:val="009E62E0"/>
    <w:rsid w:val="009E6766"/>
    <w:rsid w:val="009E6FC5"/>
    <w:rsid w:val="009E702F"/>
    <w:rsid w:val="009E722B"/>
    <w:rsid w:val="009E7247"/>
    <w:rsid w:val="009E74FF"/>
    <w:rsid w:val="009E7530"/>
    <w:rsid w:val="009E775B"/>
    <w:rsid w:val="009E7D04"/>
    <w:rsid w:val="009E7DA3"/>
    <w:rsid w:val="009E7E1C"/>
    <w:rsid w:val="009E7E9B"/>
    <w:rsid w:val="009E7F10"/>
    <w:rsid w:val="009F02AD"/>
    <w:rsid w:val="009F0BB4"/>
    <w:rsid w:val="009F0CC7"/>
    <w:rsid w:val="009F0CFC"/>
    <w:rsid w:val="009F104B"/>
    <w:rsid w:val="009F1238"/>
    <w:rsid w:val="009F15F9"/>
    <w:rsid w:val="009F1788"/>
    <w:rsid w:val="009F19E7"/>
    <w:rsid w:val="009F1B62"/>
    <w:rsid w:val="009F2031"/>
    <w:rsid w:val="009F23B2"/>
    <w:rsid w:val="009F2516"/>
    <w:rsid w:val="009F2748"/>
    <w:rsid w:val="009F27F5"/>
    <w:rsid w:val="009F2979"/>
    <w:rsid w:val="009F2994"/>
    <w:rsid w:val="009F31E1"/>
    <w:rsid w:val="009F3916"/>
    <w:rsid w:val="009F3B3B"/>
    <w:rsid w:val="009F3C34"/>
    <w:rsid w:val="009F3D3C"/>
    <w:rsid w:val="009F3D8C"/>
    <w:rsid w:val="009F3DFC"/>
    <w:rsid w:val="009F3F35"/>
    <w:rsid w:val="009F42EC"/>
    <w:rsid w:val="009F47C0"/>
    <w:rsid w:val="009F47D9"/>
    <w:rsid w:val="009F4FAB"/>
    <w:rsid w:val="009F57F5"/>
    <w:rsid w:val="009F6332"/>
    <w:rsid w:val="009F687C"/>
    <w:rsid w:val="009F6ABC"/>
    <w:rsid w:val="009F7189"/>
    <w:rsid w:val="009F75B4"/>
    <w:rsid w:val="009F76EE"/>
    <w:rsid w:val="009F7894"/>
    <w:rsid w:val="009F7ABB"/>
    <w:rsid w:val="009F7B3F"/>
    <w:rsid w:val="009F7CBD"/>
    <w:rsid w:val="009F7DF8"/>
    <w:rsid w:val="009F7F27"/>
    <w:rsid w:val="00A00054"/>
    <w:rsid w:val="00A00587"/>
    <w:rsid w:val="00A006D4"/>
    <w:rsid w:val="00A00770"/>
    <w:rsid w:val="00A00950"/>
    <w:rsid w:val="00A00E57"/>
    <w:rsid w:val="00A0118C"/>
    <w:rsid w:val="00A013AB"/>
    <w:rsid w:val="00A01436"/>
    <w:rsid w:val="00A01ACD"/>
    <w:rsid w:val="00A01B10"/>
    <w:rsid w:val="00A01D19"/>
    <w:rsid w:val="00A022A3"/>
    <w:rsid w:val="00A02733"/>
    <w:rsid w:val="00A0275A"/>
    <w:rsid w:val="00A02C42"/>
    <w:rsid w:val="00A02D46"/>
    <w:rsid w:val="00A02EEF"/>
    <w:rsid w:val="00A03031"/>
    <w:rsid w:val="00A0335A"/>
    <w:rsid w:val="00A035FD"/>
    <w:rsid w:val="00A03A7B"/>
    <w:rsid w:val="00A03B55"/>
    <w:rsid w:val="00A03B61"/>
    <w:rsid w:val="00A04032"/>
    <w:rsid w:val="00A04167"/>
    <w:rsid w:val="00A0427F"/>
    <w:rsid w:val="00A0468E"/>
    <w:rsid w:val="00A04A7F"/>
    <w:rsid w:val="00A04AAC"/>
    <w:rsid w:val="00A04D6F"/>
    <w:rsid w:val="00A04F43"/>
    <w:rsid w:val="00A0514B"/>
    <w:rsid w:val="00A051BF"/>
    <w:rsid w:val="00A0524C"/>
    <w:rsid w:val="00A058B7"/>
    <w:rsid w:val="00A05931"/>
    <w:rsid w:val="00A05CE2"/>
    <w:rsid w:val="00A0661D"/>
    <w:rsid w:val="00A06894"/>
    <w:rsid w:val="00A06A55"/>
    <w:rsid w:val="00A06A8C"/>
    <w:rsid w:val="00A06BE6"/>
    <w:rsid w:val="00A07513"/>
    <w:rsid w:val="00A0751B"/>
    <w:rsid w:val="00A07A41"/>
    <w:rsid w:val="00A07C70"/>
    <w:rsid w:val="00A07CB5"/>
    <w:rsid w:val="00A07CBC"/>
    <w:rsid w:val="00A07D17"/>
    <w:rsid w:val="00A07DD5"/>
    <w:rsid w:val="00A10108"/>
    <w:rsid w:val="00A1034F"/>
    <w:rsid w:val="00A10685"/>
    <w:rsid w:val="00A10950"/>
    <w:rsid w:val="00A10C18"/>
    <w:rsid w:val="00A10DD6"/>
    <w:rsid w:val="00A1118F"/>
    <w:rsid w:val="00A11B1F"/>
    <w:rsid w:val="00A11E56"/>
    <w:rsid w:val="00A123D2"/>
    <w:rsid w:val="00A12BBF"/>
    <w:rsid w:val="00A12CDB"/>
    <w:rsid w:val="00A12D7D"/>
    <w:rsid w:val="00A1304C"/>
    <w:rsid w:val="00A13325"/>
    <w:rsid w:val="00A13767"/>
    <w:rsid w:val="00A138D1"/>
    <w:rsid w:val="00A139E9"/>
    <w:rsid w:val="00A13D12"/>
    <w:rsid w:val="00A13D42"/>
    <w:rsid w:val="00A13D7D"/>
    <w:rsid w:val="00A13F92"/>
    <w:rsid w:val="00A14181"/>
    <w:rsid w:val="00A14194"/>
    <w:rsid w:val="00A14239"/>
    <w:rsid w:val="00A1423C"/>
    <w:rsid w:val="00A1480F"/>
    <w:rsid w:val="00A14C5B"/>
    <w:rsid w:val="00A14CF7"/>
    <w:rsid w:val="00A14E7D"/>
    <w:rsid w:val="00A14EF8"/>
    <w:rsid w:val="00A1510E"/>
    <w:rsid w:val="00A153C2"/>
    <w:rsid w:val="00A15431"/>
    <w:rsid w:val="00A154D9"/>
    <w:rsid w:val="00A15659"/>
    <w:rsid w:val="00A156C2"/>
    <w:rsid w:val="00A15A7F"/>
    <w:rsid w:val="00A15AB6"/>
    <w:rsid w:val="00A15ABE"/>
    <w:rsid w:val="00A15D6F"/>
    <w:rsid w:val="00A15E38"/>
    <w:rsid w:val="00A16015"/>
    <w:rsid w:val="00A16243"/>
    <w:rsid w:val="00A169A1"/>
    <w:rsid w:val="00A169DF"/>
    <w:rsid w:val="00A16B49"/>
    <w:rsid w:val="00A170A1"/>
    <w:rsid w:val="00A17313"/>
    <w:rsid w:val="00A1793F"/>
    <w:rsid w:val="00A17AB3"/>
    <w:rsid w:val="00A17E90"/>
    <w:rsid w:val="00A17EF2"/>
    <w:rsid w:val="00A201C0"/>
    <w:rsid w:val="00A20722"/>
    <w:rsid w:val="00A208A4"/>
    <w:rsid w:val="00A208EC"/>
    <w:rsid w:val="00A20A16"/>
    <w:rsid w:val="00A20C3A"/>
    <w:rsid w:val="00A20C95"/>
    <w:rsid w:val="00A20F3F"/>
    <w:rsid w:val="00A21054"/>
    <w:rsid w:val="00A21089"/>
    <w:rsid w:val="00A215B8"/>
    <w:rsid w:val="00A21657"/>
    <w:rsid w:val="00A2175E"/>
    <w:rsid w:val="00A21872"/>
    <w:rsid w:val="00A21ABC"/>
    <w:rsid w:val="00A21B44"/>
    <w:rsid w:val="00A21BD6"/>
    <w:rsid w:val="00A21C88"/>
    <w:rsid w:val="00A22281"/>
    <w:rsid w:val="00A2239C"/>
    <w:rsid w:val="00A223E0"/>
    <w:rsid w:val="00A22474"/>
    <w:rsid w:val="00A224E3"/>
    <w:rsid w:val="00A22552"/>
    <w:rsid w:val="00A226F0"/>
    <w:rsid w:val="00A22735"/>
    <w:rsid w:val="00A22D79"/>
    <w:rsid w:val="00A233BC"/>
    <w:rsid w:val="00A23815"/>
    <w:rsid w:val="00A23925"/>
    <w:rsid w:val="00A23935"/>
    <w:rsid w:val="00A23C70"/>
    <w:rsid w:val="00A23E72"/>
    <w:rsid w:val="00A240A0"/>
    <w:rsid w:val="00A2412F"/>
    <w:rsid w:val="00A2430C"/>
    <w:rsid w:val="00A24453"/>
    <w:rsid w:val="00A2497E"/>
    <w:rsid w:val="00A24E9A"/>
    <w:rsid w:val="00A250F2"/>
    <w:rsid w:val="00A25517"/>
    <w:rsid w:val="00A25AD7"/>
    <w:rsid w:val="00A25B7E"/>
    <w:rsid w:val="00A25C79"/>
    <w:rsid w:val="00A25D9E"/>
    <w:rsid w:val="00A26580"/>
    <w:rsid w:val="00A2666E"/>
    <w:rsid w:val="00A267E8"/>
    <w:rsid w:val="00A268C8"/>
    <w:rsid w:val="00A269CF"/>
    <w:rsid w:val="00A26ADC"/>
    <w:rsid w:val="00A271EE"/>
    <w:rsid w:val="00A27245"/>
    <w:rsid w:val="00A2725D"/>
    <w:rsid w:val="00A27371"/>
    <w:rsid w:val="00A27636"/>
    <w:rsid w:val="00A27AC2"/>
    <w:rsid w:val="00A300BC"/>
    <w:rsid w:val="00A30178"/>
    <w:rsid w:val="00A30189"/>
    <w:rsid w:val="00A304EC"/>
    <w:rsid w:val="00A3090F"/>
    <w:rsid w:val="00A31537"/>
    <w:rsid w:val="00A31CE6"/>
    <w:rsid w:val="00A31DB6"/>
    <w:rsid w:val="00A3208A"/>
    <w:rsid w:val="00A32171"/>
    <w:rsid w:val="00A3244F"/>
    <w:rsid w:val="00A32C95"/>
    <w:rsid w:val="00A32FE3"/>
    <w:rsid w:val="00A33098"/>
    <w:rsid w:val="00A3318A"/>
    <w:rsid w:val="00A3343D"/>
    <w:rsid w:val="00A334CD"/>
    <w:rsid w:val="00A336E2"/>
    <w:rsid w:val="00A337B2"/>
    <w:rsid w:val="00A337CA"/>
    <w:rsid w:val="00A33B41"/>
    <w:rsid w:val="00A33BAF"/>
    <w:rsid w:val="00A33E1B"/>
    <w:rsid w:val="00A340FE"/>
    <w:rsid w:val="00A343B5"/>
    <w:rsid w:val="00A343E1"/>
    <w:rsid w:val="00A34685"/>
    <w:rsid w:val="00A346C7"/>
    <w:rsid w:val="00A348D2"/>
    <w:rsid w:val="00A34EBA"/>
    <w:rsid w:val="00A352E8"/>
    <w:rsid w:val="00A35AEF"/>
    <w:rsid w:val="00A35BD5"/>
    <w:rsid w:val="00A35E0D"/>
    <w:rsid w:val="00A35F5D"/>
    <w:rsid w:val="00A362DC"/>
    <w:rsid w:val="00A36369"/>
    <w:rsid w:val="00A36413"/>
    <w:rsid w:val="00A36571"/>
    <w:rsid w:val="00A365F3"/>
    <w:rsid w:val="00A36726"/>
    <w:rsid w:val="00A36A4B"/>
    <w:rsid w:val="00A371FB"/>
    <w:rsid w:val="00A37209"/>
    <w:rsid w:val="00A3739E"/>
    <w:rsid w:val="00A376CB"/>
    <w:rsid w:val="00A377A4"/>
    <w:rsid w:val="00A37887"/>
    <w:rsid w:val="00A37929"/>
    <w:rsid w:val="00A379B4"/>
    <w:rsid w:val="00A37CAD"/>
    <w:rsid w:val="00A37DC6"/>
    <w:rsid w:val="00A37E47"/>
    <w:rsid w:val="00A37E95"/>
    <w:rsid w:val="00A37F66"/>
    <w:rsid w:val="00A40041"/>
    <w:rsid w:val="00A405F5"/>
    <w:rsid w:val="00A40ACE"/>
    <w:rsid w:val="00A40C2A"/>
    <w:rsid w:val="00A40FFC"/>
    <w:rsid w:val="00A411B4"/>
    <w:rsid w:val="00A412CA"/>
    <w:rsid w:val="00A417E9"/>
    <w:rsid w:val="00A419B7"/>
    <w:rsid w:val="00A41A64"/>
    <w:rsid w:val="00A41AB9"/>
    <w:rsid w:val="00A41ECC"/>
    <w:rsid w:val="00A41ED2"/>
    <w:rsid w:val="00A4209F"/>
    <w:rsid w:val="00A42122"/>
    <w:rsid w:val="00A42288"/>
    <w:rsid w:val="00A422A9"/>
    <w:rsid w:val="00A42B07"/>
    <w:rsid w:val="00A42B41"/>
    <w:rsid w:val="00A4326A"/>
    <w:rsid w:val="00A43548"/>
    <w:rsid w:val="00A43571"/>
    <w:rsid w:val="00A435E1"/>
    <w:rsid w:val="00A437B3"/>
    <w:rsid w:val="00A43A36"/>
    <w:rsid w:val="00A43CC4"/>
    <w:rsid w:val="00A43D42"/>
    <w:rsid w:val="00A43FBA"/>
    <w:rsid w:val="00A44376"/>
    <w:rsid w:val="00A44384"/>
    <w:rsid w:val="00A44E38"/>
    <w:rsid w:val="00A450B2"/>
    <w:rsid w:val="00A4521B"/>
    <w:rsid w:val="00A45756"/>
    <w:rsid w:val="00A457B3"/>
    <w:rsid w:val="00A457CF"/>
    <w:rsid w:val="00A45C07"/>
    <w:rsid w:val="00A45C74"/>
    <w:rsid w:val="00A461F7"/>
    <w:rsid w:val="00A46584"/>
    <w:rsid w:val="00A46665"/>
    <w:rsid w:val="00A46734"/>
    <w:rsid w:val="00A4681C"/>
    <w:rsid w:val="00A46D9D"/>
    <w:rsid w:val="00A47185"/>
    <w:rsid w:val="00A472AB"/>
    <w:rsid w:val="00A473E1"/>
    <w:rsid w:val="00A475FE"/>
    <w:rsid w:val="00A5003B"/>
    <w:rsid w:val="00A500F0"/>
    <w:rsid w:val="00A505CC"/>
    <w:rsid w:val="00A50642"/>
    <w:rsid w:val="00A50988"/>
    <w:rsid w:val="00A50C92"/>
    <w:rsid w:val="00A50D3D"/>
    <w:rsid w:val="00A50D9D"/>
    <w:rsid w:val="00A50EE7"/>
    <w:rsid w:val="00A5136D"/>
    <w:rsid w:val="00A515BA"/>
    <w:rsid w:val="00A515EB"/>
    <w:rsid w:val="00A518B3"/>
    <w:rsid w:val="00A51AA6"/>
    <w:rsid w:val="00A51AB1"/>
    <w:rsid w:val="00A5209D"/>
    <w:rsid w:val="00A52334"/>
    <w:rsid w:val="00A52504"/>
    <w:rsid w:val="00A52812"/>
    <w:rsid w:val="00A52888"/>
    <w:rsid w:val="00A52B0E"/>
    <w:rsid w:val="00A531FF"/>
    <w:rsid w:val="00A53321"/>
    <w:rsid w:val="00A53386"/>
    <w:rsid w:val="00A5342F"/>
    <w:rsid w:val="00A53841"/>
    <w:rsid w:val="00A53B8F"/>
    <w:rsid w:val="00A53BD5"/>
    <w:rsid w:val="00A53CC4"/>
    <w:rsid w:val="00A541D1"/>
    <w:rsid w:val="00A5427A"/>
    <w:rsid w:val="00A542C5"/>
    <w:rsid w:val="00A5440B"/>
    <w:rsid w:val="00A54512"/>
    <w:rsid w:val="00A54633"/>
    <w:rsid w:val="00A54D1D"/>
    <w:rsid w:val="00A54DFB"/>
    <w:rsid w:val="00A550C1"/>
    <w:rsid w:val="00A552A9"/>
    <w:rsid w:val="00A5540B"/>
    <w:rsid w:val="00A55546"/>
    <w:rsid w:val="00A557A6"/>
    <w:rsid w:val="00A55AA6"/>
    <w:rsid w:val="00A55AF3"/>
    <w:rsid w:val="00A55E56"/>
    <w:rsid w:val="00A5643B"/>
    <w:rsid w:val="00A565E4"/>
    <w:rsid w:val="00A5664B"/>
    <w:rsid w:val="00A5673C"/>
    <w:rsid w:val="00A569D7"/>
    <w:rsid w:val="00A56CBE"/>
    <w:rsid w:val="00A56D1B"/>
    <w:rsid w:val="00A56D6F"/>
    <w:rsid w:val="00A56DF7"/>
    <w:rsid w:val="00A56F1B"/>
    <w:rsid w:val="00A5703B"/>
    <w:rsid w:val="00A5714C"/>
    <w:rsid w:val="00A57188"/>
    <w:rsid w:val="00A573EE"/>
    <w:rsid w:val="00A57401"/>
    <w:rsid w:val="00A578EA"/>
    <w:rsid w:val="00A57AF4"/>
    <w:rsid w:val="00A57BBC"/>
    <w:rsid w:val="00A57C96"/>
    <w:rsid w:val="00A60552"/>
    <w:rsid w:val="00A60C9B"/>
    <w:rsid w:val="00A60D85"/>
    <w:rsid w:val="00A60E94"/>
    <w:rsid w:val="00A6120A"/>
    <w:rsid w:val="00A6120F"/>
    <w:rsid w:val="00A61391"/>
    <w:rsid w:val="00A61504"/>
    <w:rsid w:val="00A6158A"/>
    <w:rsid w:val="00A615B3"/>
    <w:rsid w:val="00A618E3"/>
    <w:rsid w:val="00A619C8"/>
    <w:rsid w:val="00A61C6F"/>
    <w:rsid w:val="00A61C85"/>
    <w:rsid w:val="00A62067"/>
    <w:rsid w:val="00A62205"/>
    <w:rsid w:val="00A6249A"/>
    <w:rsid w:val="00A6272C"/>
    <w:rsid w:val="00A62B55"/>
    <w:rsid w:val="00A62FEE"/>
    <w:rsid w:val="00A63185"/>
    <w:rsid w:val="00A632D6"/>
    <w:rsid w:val="00A63B3A"/>
    <w:rsid w:val="00A63B7E"/>
    <w:rsid w:val="00A63D66"/>
    <w:rsid w:val="00A63E04"/>
    <w:rsid w:val="00A643C7"/>
    <w:rsid w:val="00A6463A"/>
    <w:rsid w:val="00A646FE"/>
    <w:rsid w:val="00A64ABD"/>
    <w:rsid w:val="00A64CED"/>
    <w:rsid w:val="00A64CFC"/>
    <w:rsid w:val="00A64E42"/>
    <w:rsid w:val="00A64F63"/>
    <w:rsid w:val="00A6532F"/>
    <w:rsid w:val="00A6534A"/>
    <w:rsid w:val="00A6534F"/>
    <w:rsid w:val="00A6549E"/>
    <w:rsid w:val="00A6549F"/>
    <w:rsid w:val="00A655DB"/>
    <w:rsid w:val="00A656E3"/>
    <w:rsid w:val="00A6596F"/>
    <w:rsid w:val="00A65AFE"/>
    <w:rsid w:val="00A660D9"/>
    <w:rsid w:val="00A6629D"/>
    <w:rsid w:val="00A667FA"/>
    <w:rsid w:val="00A66B56"/>
    <w:rsid w:val="00A66DFC"/>
    <w:rsid w:val="00A671EB"/>
    <w:rsid w:val="00A672E2"/>
    <w:rsid w:val="00A6755A"/>
    <w:rsid w:val="00A675DC"/>
    <w:rsid w:val="00A676EC"/>
    <w:rsid w:val="00A677A1"/>
    <w:rsid w:val="00A677E7"/>
    <w:rsid w:val="00A67CD9"/>
    <w:rsid w:val="00A67E3E"/>
    <w:rsid w:val="00A67F8C"/>
    <w:rsid w:val="00A67FF3"/>
    <w:rsid w:val="00A701A0"/>
    <w:rsid w:val="00A70276"/>
    <w:rsid w:val="00A70357"/>
    <w:rsid w:val="00A70454"/>
    <w:rsid w:val="00A706C6"/>
    <w:rsid w:val="00A706CF"/>
    <w:rsid w:val="00A70943"/>
    <w:rsid w:val="00A70CF3"/>
    <w:rsid w:val="00A70D22"/>
    <w:rsid w:val="00A70D3F"/>
    <w:rsid w:val="00A70E4A"/>
    <w:rsid w:val="00A712D9"/>
    <w:rsid w:val="00A713CC"/>
    <w:rsid w:val="00A715E4"/>
    <w:rsid w:val="00A71EBD"/>
    <w:rsid w:val="00A71ED9"/>
    <w:rsid w:val="00A72006"/>
    <w:rsid w:val="00A723E7"/>
    <w:rsid w:val="00A72415"/>
    <w:rsid w:val="00A7288D"/>
    <w:rsid w:val="00A72D64"/>
    <w:rsid w:val="00A72F91"/>
    <w:rsid w:val="00A7302D"/>
    <w:rsid w:val="00A7352F"/>
    <w:rsid w:val="00A73B9D"/>
    <w:rsid w:val="00A73DEA"/>
    <w:rsid w:val="00A73E1E"/>
    <w:rsid w:val="00A74010"/>
    <w:rsid w:val="00A7423D"/>
    <w:rsid w:val="00A74322"/>
    <w:rsid w:val="00A746A8"/>
    <w:rsid w:val="00A74881"/>
    <w:rsid w:val="00A749E7"/>
    <w:rsid w:val="00A74A70"/>
    <w:rsid w:val="00A74B28"/>
    <w:rsid w:val="00A74D44"/>
    <w:rsid w:val="00A74D9E"/>
    <w:rsid w:val="00A74FCE"/>
    <w:rsid w:val="00A75019"/>
    <w:rsid w:val="00A75210"/>
    <w:rsid w:val="00A752DB"/>
    <w:rsid w:val="00A7565A"/>
    <w:rsid w:val="00A75FA5"/>
    <w:rsid w:val="00A76009"/>
    <w:rsid w:val="00A76300"/>
    <w:rsid w:val="00A766B9"/>
    <w:rsid w:val="00A7670E"/>
    <w:rsid w:val="00A76767"/>
    <w:rsid w:val="00A769B2"/>
    <w:rsid w:val="00A76BC6"/>
    <w:rsid w:val="00A76CF8"/>
    <w:rsid w:val="00A76FAB"/>
    <w:rsid w:val="00A7705B"/>
    <w:rsid w:val="00A77130"/>
    <w:rsid w:val="00A771CE"/>
    <w:rsid w:val="00A772F7"/>
    <w:rsid w:val="00A77433"/>
    <w:rsid w:val="00A77671"/>
    <w:rsid w:val="00A77806"/>
    <w:rsid w:val="00A77914"/>
    <w:rsid w:val="00A77B8D"/>
    <w:rsid w:val="00A80F8E"/>
    <w:rsid w:val="00A80F98"/>
    <w:rsid w:val="00A81234"/>
    <w:rsid w:val="00A814DA"/>
    <w:rsid w:val="00A81532"/>
    <w:rsid w:val="00A816EE"/>
    <w:rsid w:val="00A816FA"/>
    <w:rsid w:val="00A81CE6"/>
    <w:rsid w:val="00A81FA8"/>
    <w:rsid w:val="00A820DB"/>
    <w:rsid w:val="00A82158"/>
    <w:rsid w:val="00A8272C"/>
    <w:rsid w:val="00A829B0"/>
    <w:rsid w:val="00A829FA"/>
    <w:rsid w:val="00A82AA7"/>
    <w:rsid w:val="00A82C01"/>
    <w:rsid w:val="00A82CB5"/>
    <w:rsid w:val="00A83168"/>
    <w:rsid w:val="00A8349C"/>
    <w:rsid w:val="00A83A35"/>
    <w:rsid w:val="00A83CDA"/>
    <w:rsid w:val="00A84A40"/>
    <w:rsid w:val="00A84CAE"/>
    <w:rsid w:val="00A84DC4"/>
    <w:rsid w:val="00A84E01"/>
    <w:rsid w:val="00A85005"/>
    <w:rsid w:val="00A8546C"/>
    <w:rsid w:val="00A85624"/>
    <w:rsid w:val="00A856C2"/>
    <w:rsid w:val="00A85A92"/>
    <w:rsid w:val="00A85B18"/>
    <w:rsid w:val="00A85C33"/>
    <w:rsid w:val="00A8600A"/>
    <w:rsid w:val="00A864F8"/>
    <w:rsid w:val="00A86523"/>
    <w:rsid w:val="00A865FC"/>
    <w:rsid w:val="00A86706"/>
    <w:rsid w:val="00A86AAB"/>
    <w:rsid w:val="00A8775D"/>
    <w:rsid w:val="00A87C3A"/>
    <w:rsid w:val="00A87DDE"/>
    <w:rsid w:val="00A87FE2"/>
    <w:rsid w:val="00A902E1"/>
    <w:rsid w:val="00A904DD"/>
    <w:rsid w:val="00A90662"/>
    <w:rsid w:val="00A90701"/>
    <w:rsid w:val="00A90843"/>
    <w:rsid w:val="00A90993"/>
    <w:rsid w:val="00A90BED"/>
    <w:rsid w:val="00A90C6C"/>
    <w:rsid w:val="00A90CBE"/>
    <w:rsid w:val="00A90ECC"/>
    <w:rsid w:val="00A910E1"/>
    <w:rsid w:val="00A912CD"/>
    <w:rsid w:val="00A9153B"/>
    <w:rsid w:val="00A91555"/>
    <w:rsid w:val="00A91A00"/>
    <w:rsid w:val="00A91B48"/>
    <w:rsid w:val="00A91CC0"/>
    <w:rsid w:val="00A9202B"/>
    <w:rsid w:val="00A92103"/>
    <w:rsid w:val="00A92149"/>
    <w:rsid w:val="00A92293"/>
    <w:rsid w:val="00A92BAB"/>
    <w:rsid w:val="00A92F2C"/>
    <w:rsid w:val="00A92FB4"/>
    <w:rsid w:val="00A9319A"/>
    <w:rsid w:val="00A931D5"/>
    <w:rsid w:val="00A9328E"/>
    <w:rsid w:val="00A933A7"/>
    <w:rsid w:val="00A935E0"/>
    <w:rsid w:val="00A93728"/>
    <w:rsid w:val="00A937FE"/>
    <w:rsid w:val="00A93B67"/>
    <w:rsid w:val="00A93C6C"/>
    <w:rsid w:val="00A94213"/>
    <w:rsid w:val="00A94441"/>
    <w:rsid w:val="00A948DE"/>
    <w:rsid w:val="00A94BD4"/>
    <w:rsid w:val="00A94C1E"/>
    <w:rsid w:val="00A94D78"/>
    <w:rsid w:val="00A95308"/>
    <w:rsid w:val="00A954DA"/>
    <w:rsid w:val="00A956D6"/>
    <w:rsid w:val="00A960FA"/>
    <w:rsid w:val="00A961EE"/>
    <w:rsid w:val="00A962E7"/>
    <w:rsid w:val="00A9665A"/>
    <w:rsid w:val="00A96D9D"/>
    <w:rsid w:val="00A96DE2"/>
    <w:rsid w:val="00A972E7"/>
    <w:rsid w:val="00A976B7"/>
    <w:rsid w:val="00A978BD"/>
    <w:rsid w:val="00A97D23"/>
    <w:rsid w:val="00A97DF2"/>
    <w:rsid w:val="00AA0342"/>
    <w:rsid w:val="00AA0431"/>
    <w:rsid w:val="00AA0434"/>
    <w:rsid w:val="00AA0487"/>
    <w:rsid w:val="00AA05EE"/>
    <w:rsid w:val="00AA09BC"/>
    <w:rsid w:val="00AA1061"/>
    <w:rsid w:val="00AA138F"/>
    <w:rsid w:val="00AA13B8"/>
    <w:rsid w:val="00AA141A"/>
    <w:rsid w:val="00AA1479"/>
    <w:rsid w:val="00AA178A"/>
    <w:rsid w:val="00AA19A4"/>
    <w:rsid w:val="00AA1DB5"/>
    <w:rsid w:val="00AA1E47"/>
    <w:rsid w:val="00AA1EBC"/>
    <w:rsid w:val="00AA1FED"/>
    <w:rsid w:val="00AA26ED"/>
    <w:rsid w:val="00AA28AA"/>
    <w:rsid w:val="00AA28C1"/>
    <w:rsid w:val="00AA2C1A"/>
    <w:rsid w:val="00AA2D21"/>
    <w:rsid w:val="00AA2DB6"/>
    <w:rsid w:val="00AA2DC4"/>
    <w:rsid w:val="00AA338A"/>
    <w:rsid w:val="00AA380B"/>
    <w:rsid w:val="00AA3977"/>
    <w:rsid w:val="00AA39CC"/>
    <w:rsid w:val="00AA4274"/>
    <w:rsid w:val="00AA428F"/>
    <w:rsid w:val="00AA43F2"/>
    <w:rsid w:val="00AA443A"/>
    <w:rsid w:val="00AA4591"/>
    <w:rsid w:val="00AA45B8"/>
    <w:rsid w:val="00AA46A4"/>
    <w:rsid w:val="00AA4C64"/>
    <w:rsid w:val="00AA5322"/>
    <w:rsid w:val="00AA543A"/>
    <w:rsid w:val="00AA548A"/>
    <w:rsid w:val="00AA5522"/>
    <w:rsid w:val="00AA5828"/>
    <w:rsid w:val="00AA59D8"/>
    <w:rsid w:val="00AA5ADB"/>
    <w:rsid w:val="00AA5BE0"/>
    <w:rsid w:val="00AA5CA9"/>
    <w:rsid w:val="00AA5D5A"/>
    <w:rsid w:val="00AA6172"/>
    <w:rsid w:val="00AA6219"/>
    <w:rsid w:val="00AA6298"/>
    <w:rsid w:val="00AA633D"/>
    <w:rsid w:val="00AA6491"/>
    <w:rsid w:val="00AA6585"/>
    <w:rsid w:val="00AA6757"/>
    <w:rsid w:val="00AA67FD"/>
    <w:rsid w:val="00AA6993"/>
    <w:rsid w:val="00AA6C07"/>
    <w:rsid w:val="00AA6E55"/>
    <w:rsid w:val="00AA6E7B"/>
    <w:rsid w:val="00AA734C"/>
    <w:rsid w:val="00AA7503"/>
    <w:rsid w:val="00AA7CD2"/>
    <w:rsid w:val="00AA7E63"/>
    <w:rsid w:val="00AB00FD"/>
    <w:rsid w:val="00AB01AA"/>
    <w:rsid w:val="00AB03DF"/>
    <w:rsid w:val="00AB0547"/>
    <w:rsid w:val="00AB0924"/>
    <w:rsid w:val="00AB0A4A"/>
    <w:rsid w:val="00AB0A84"/>
    <w:rsid w:val="00AB0AEC"/>
    <w:rsid w:val="00AB0BAC"/>
    <w:rsid w:val="00AB0D22"/>
    <w:rsid w:val="00AB10EB"/>
    <w:rsid w:val="00AB1230"/>
    <w:rsid w:val="00AB130F"/>
    <w:rsid w:val="00AB149C"/>
    <w:rsid w:val="00AB14F0"/>
    <w:rsid w:val="00AB1A25"/>
    <w:rsid w:val="00AB1B19"/>
    <w:rsid w:val="00AB21DA"/>
    <w:rsid w:val="00AB27FF"/>
    <w:rsid w:val="00AB28F0"/>
    <w:rsid w:val="00AB2908"/>
    <w:rsid w:val="00AB290F"/>
    <w:rsid w:val="00AB2C7F"/>
    <w:rsid w:val="00AB2DB9"/>
    <w:rsid w:val="00AB2E23"/>
    <w:rsid w:val="00AB2E53"/>
    <w:rsid w:val="00AB2E85"/>
    <w:rsid w:val="00AB2F2C"/>
    <w:rsid w:val="00AB3216"/>
    <w:rsid w:val="00AB3551"/>
    <w:rsid w:val="00AB35B5"/>
    <w:rsid w:val="00AB3775"/>
    <w:rsid w:val="00AB3AC3"/>
    <w:rsid w:val="00AB3CBA"/>
    <w:rsid w:val="00AB3DDD"/>
    <w:rsid w:val="00AB43AF"/>
    <w:rsid w:val="00AB460B"/>
    <w:rsid w:val="00AB4863"/>
    <w:rsid w:val="00AB497B"/>
    <w:rsid w:val="00AB4C44"/>
    <w:rsid w:val="00AB4DF5"/>
    <w:rsid w:val="00AB4EB0"/>
    <w:rsid w:val="00AB4F73"/>
    <w:rsid w:val="00AB549B"/>
    <w:rsid w:val="00AB54EC"/>
    <w:rsid w:val="00AB55FF"/>
    <w:rsid w:val="00AB598A"/>
    <w:rsid w:val="00AB5B1D"/>
    <w:rsid w:val="00AB6738"/>
    <w:rsid w:val="00AB692A"/>
    <w:rsid w:val="00AB69AE"/>
    <w:rsid w:val="00AB6CE2"/>
    <w:rsid w:val="00AB6D24"/>
    <w:rsid w:val="00AB72D5"/>
    <w:rsid w:val="00AB732B"/>
    <w:rsid w:val="00AB73F8"/>
    <w:rsid w:val="00AB7533"/>
    <w:rsid w:val="00AB7554"/>
    <w:rsid w:val="00AB76F1"/>
    <w:rsid w:val="00AB780E"/>
    <w:rsid w:val="00AB7AD0"/>
    <w:rsid w:val="00AB7E58"/>
    <w:rsid w:val="00AB7F5A"/>
    <w:rsid w:val="00AB7F9D"/>
    <w:rsid w:val="00AC0179"/>
    <w:rsid w:val="00AC01DA"/>
    <w:rsid w:val="00AC09CA"/>
    <w:rsid w:val="00AC09DF"/>
    <w:rsid w:val="00AC0D59"/>
    <w:rsid w:val="00AC0E64"/>
    <w:rsid w:val="00AC126D"/>
    <w:rsid w:val="00AC138C"/>
    <w:rsid w:val="00AC1694"/>
    <w:rsid w:val="00AC1DCD"/>
    <w:rsid w:val="00AC2580"/>
    <w:rsid w:val="00AC2641"/>
    <w:rsid w:val="00AC2C9C"/>
    <w:rsid w:val="00AC2D1F"/>
    <w:rsid w:val="00AC2F9E"/>
    <w:rsid w:val="00AC3080"/>
    <w:rsid w:val="00AC31EA"/>
    <w:rsid w:val="00AC3962"/>
    <w:rsid w:val="00AC3A13"/>
    <w:rsid w:val="00AC3CF1"/>
    <w:rsid w:val="00AC3EC3"/>
    <w:rsid w:val="00AC3F9A"/>
    <w:rsid w:val="00AC41EB"/>
    <w:rsid w:val="00AC41F2"/>
    <w:rsid w:val="00AC460B"/>
    <w:rsid w:val="00AC5135"/>
    <w:rsid w:val="00AC5298"/>
    <w:rsid w:val="00AC53A3"/>
    <w:rsid w:val="00AC57B0"/>
    <w:rsid w:val="00AC57E4"/>
    <w:rsid w:val="00AC5D95"/>
    <w:rsid w:val="00AC63FF"/>
    <w:rsid w:val="00AC677A"/>
    <w:rsid w:val="00AC6979"/>
    <w:rsid w:val="00AC6C49"/>
    <w:rsid w:val="00AC6D40"/>
    <w:rsid w:val="00AC6E28"/>
    <w:rsid w:val="00AC7001"/>
    <w:rsid w:val="00AC70F7"/>
    <w:rsid w:val="00AC71EA"/>
    <w:rsid w:val="00AC7223"/>
    <w:rsid w:val="00AC7375"/>
    <w:rsid w:val="00AC7407"/>
    <w:rsid w:val="00AC7A5F"/>
    <w:rsid w:val="00AD0121"/>
    <w:rsid w:val="00AD0134"/>
    <w:rsid w:val="00AD053F"/>
    <w:rsid w:val="00AD056A"/>
    <w:rsid w:val="00AD064F"/>
    <w:rsid w:val="00AD0682"/>
    <w:rsid w:val="00AD06B8"/>
    <w:rsid w:val="00AD0907"/>
    <w:rsid w:val="00AD091B"/>
    <w:rsid w:val="00AD09AE"/>
    <w:rsid w:val="00AD0E1B"/>
    <w:rsid w:val="00AD118D"/>
    <w:rsid w:val="00AD120C"/>
    <w:rsid w:val="00AD149A"/>
    <w:rsid w:val="00AD19FC"/>
    <w:rsid w:val="00AD1BFC"/>
    <w:rsid w:val="00AD1CA1"/>
    <w:rsid w:val="00AD1EDB"/>
    <w:rsid w:val="00AD2089"/>
    <w:rsid w:val="00AD21E4"/>
    <w:rsid w:val="00AD269F"/>
    <w:rsid w:val="00AD26FC"/>
    <w:rsid w:val="00AD2A16"/>
    <w:rsid w:val="00AD2CBA"/>
    <w:rsid w:val="00AD33A1"/>
    <w:rsid w:val="00AD3891"/>
    <w:rsid w:val="00AD3A86"/>
    <w:rsid w:val="00AD3AB2"/>
    <w:rsid w:val="00AD3CBD"/>
    <w:rsid w:val="00AD3F52"/>
    <w:rsid w:val="00AD406F"/>
    <w:rsid w:val="00AD40E8"/>
    <w:rsid w:val="00AD43CA"/>
    <w:rsid w:val="00AD4692"/>
    <w:rsid w:val="00AD472E"/>
    <w:rsid w:val="00AD4F43"/>
    <w:rsid w:val="00AD4FF9"/>
    <w:rsid w:val="00AD50DC"/>
    <w:rsid w:val="00AD5746"/>
    <w:rsid w:val="00AD5BAC"/>
    <w:rsid w:val="00AD5E0D"/>
    <w:rsid w:val="00AD5E45"/>
    <w:rsid w:val="00AD6110"/>
    <w:rsid w:val="00AD6566"/>
    <w:rsid w:val="00AD68B8"/>
    <w:rsid w:val="00AD68D8"/>
    <w:rsid w:val="00AD692A"/>
    <w:rsid w:val="00AD6C4F"/>
    <w:rsid w:val="00AD6C6A"/>
    <w:rsid w:val="00AD6EC9"/>
    <w:rsid w:val="00AD739E"/>
    <w:rsid w:val="00AD7506"/>
    <w:rsid w:val="00AD77D7"/>
    <w:rsid w:val="00AD7DED"/>
    <w:rsid w:val="00AD7F6E"/>
    <w:rsid w:val="00AE03CD"/>
    <w:rsid w:val="00AE043C"/>
    <w:rsid w:val="00AE043F"/>
    <w:rsid w:val="00AE0494"/>
    <w:rsid w:val="00AE04A5"/>
    <w:rsid w:val="00AE05AD"/>
    <w:rsid w:val="00AE0C72"/>
    <w:rsid w:val="00AE0D1D"/>
    <w:rsid w:val="00AE0E37"/>
    <w:rsid w:val="00AE1038"/>
    <w:rsid w:val="00AE14C1"/>
    <w:rsid w:val="00AE15F7"/>
    <w:rsid w:val="00AE17F4"/>
    <w:rsid w:val="00AE181F"/>
    <w:rsid w:val="00AE1A9A"/>
    <w:rsid w:val="00AE1BA0"/>
    <w:rsid w:val="00AE1CF1"/>
    <w:rsid w:val="00AE202A"/>
    <w:rsid w:val="00AE2245"/>
    <w:rsid w:val="00AE2557"/>
    <w:rsid w:val="00AE2740"/>
    <w:rsid w:val="00AE2A5D"/>
    <w:rsid w:val="00AE2AD3"/>
    <w:rsid w:val="00AE2FF0"/>
    <w:rsid w:val="00AE34CA"/>
    <w:rsid w:val="00AE3789"/>
    <w:rsid w:val="00AE38CE"/>
    <w:rsid w:val="00AE3C87"/>
    <w:rsid w:val="00AE3D03"/>
    <w:rsid w:val="00AE41DD"/>
    <w:rsid w:val="00AE4289"/>
    <w:rsid w:val="00AE4582"/>
    <w:rsid w:val="00AE475E"/>
    <w:rsid w:val="00AE4FAD"/>
    <w:rsid w:val="00AE511B"/>
    <w:rsid w:val="00AE5229"/>
    <w:rsid w:val="00AE5448"/>
    <w:rsid w:val="00AE598E"/>
    <w:rsid w:val="00AE5F36"/>
    <w:rsid w:val="00AE5F40"/>
    <w:rsid w:val="00AE619E"/>
    <w:rsid w:val="00AE6253"/>
    <w:rsid w:val="00AE63F3"/>
    <w:rsid w:val="00AE660E"/>
    <w:rsid w:val="00AE6866"/>
    <w:rsid w:val="00AE6991"/>
    <w:rsid w:val="00AE6A30"/>
    <w:rsid w:val="00AE6AEF"/>
    <w:rsid w:val="00AE6C0D"/>
    <w:rsid w:val="00AE6EEE"/>
    <w:rsid w:val="00AE7546"/>
    <w:rsid w:val="00AE76CB"/>
    <w:rsid w:val="00AE7C25"/>
    <w:rsid w:val="00AF0294"/>
    <w:rsid w:val="00AF0950"/>
    <w:rsid w:val="00AF0BEF"/>
    <w:rsid w:val="00AF0C4B"/>
    <w:rsid w:val="00AF0CB8"/>
    <w:rsid w:val="00AF0F1F"/>
    <w:rsid w:val="00AF0F69"/>
    <w:rsid w:val="00AF0FF2"/>
    <w:rsid w:val="00AF10C1"/>
    <w:rsid w:val="00AF123B"/>
    <w:rsid w:val="00AF14E7"/>
    <w:rsid w:val="00AF1798"/>
    <w:rsid w:val="00AF179A"/>
    <w:rsid w:val="00AF19AB"/>
    <w:rsid w:val="00AF1AED"/>
    <w:rsid w:val="00AF1BCB"/>
    <w:rsid w:val="00AF1C65"/>
    <w:rsid w:val="00AF1C9A"/>
    <w:rsid w:val="00AF1CB4"/>
    <w:rsid w:val="00AF1E30"/>
    <w:rsid w:val="00AF1E54"/>
    <w:rsid w:val="00AF2AF9"/>
    <w:rsid w:val="00AF32C9"/>
    <w:rsid w:val="00AF34D8"/>
    <w:rsid w:val="00AF387A"/>
    <w:rsid w:val="00AF3C84"/>
    <w:rsid w:val="00AF3CB8"/>
    <w:rsid w:val="00AF3CDB"/>
    <w:rsid w:val="00AF3DAF"/>
    <w:rsid w:val="00AF430B"/>
    <w:rsid w:val="00AF4529"/>
    <w:rsid w:val="00AF48E3"/>
    <w:rsid w:val="00AF4B65"/>
    <w:rsid w:val="00AF4F11"/>
    <w:rsid w:val="00AF51D0"/>
    <w:rsid w:val="00AF5221"/>
    <w:rsid w:val="00AF5A8C"/>
    <w:rsid w:val="00AF60F2"/>
    <w:rsid w:val="00AF63EE"/>
    <w:rsid w:val="00AF6948"/>
    <w:rsid w:val="00AF69B9"/>
    <w:rsid w:val="00AF69DF"/>
    <w:rsid w:val="00AF6AAD"/>
    <w:rsid w:val="00AF6E5F"/>
    <w:rsid w:val="00AF70CF"/>
    <w:rsid w:val="00AF776E"/>
    <w:rsid w:val="00AF7F8A"/>
    <w:rsid w:val="00B002B8"/>
    <w:rsid w:val="00B004AC"/>
    <w:rsid w:val="00B00756"/>
    <w:rsid w:val="00B00A30"/>
    <w:rsid w:val="00B013FA"/>
    <w:rsid w:val="00B0150F"/>
    <w:rsid w:val="00B016F3"/>
    <w:rsid w:val="00B019DB"/>
    <w:rsid w:val="00B01B24"/>
    <w:rsid w:val="00B01B40"/>
    <w:rsid w:val="00B01B53"/>
    <w:rsid w:val="00B01CB7"/>
    <w:rsid w:val="00B01EA9"/>
    <w:rsid w:val="00B02707"/>
    <w:rsid w:val="00B028DF"/>
    <w:rsid w:val="00B029B3"/>
    <w:rsid w:val="00B02B5C"/>
    <w:rsid w:val="00B02D27"/>
    <w:rsid w:val="00B0316A"/>
    <w:rsid w:val="00B03538"/>
    <w:rsid w:val="00B03904"/>
    <w:rsid w:val="00B03CAE"/>
    <w:rsid w:val="00B040F7"/>
    <w:rsid w:val="00B0412B"/>
    <w:rsid w:val="00B04154"/>
    <w:rsid w:val="00B0429C"/>
    <w:rsid w:val="00B042A3"/>
    <w:rsid w:val="00B044E7"/>
    <w:rsid w:val="00B04737"/>
    <w:rsid w:val="00B04896"/>
    <w:rsid w:val="00B048FF"/>
    <w:rsid w:val="00B049EE"/>
    <w:rsid w:val="00B04FD0"/>
    <w:rsid w:val="00B051A8"/>
    <w:rsid w:val="00B05330"/>
    <w:rsid w:val="00B05385"/>
    <w:rsid w:val="00B0538D"/>
    <w:rsid w:val="00B056F3"/>
    <w:rsid w:val="00B0585B"/>
    <w:rsid w:val="00B05B47"/>
    <w:rsid w:val="00B05E3D"/>
    <w:rsid w:val="00B065D1"/>
    <w:rsid w:val="00B0664E"/>
    <w:rsid w:val="00B06652"/>
    <w:rsid w:val="00B06A1F"/>
    <w:rsid w:val="00B06BA2"/>
    <w:rsid w:val="00B06DC5"/>
    <w:rsid w:val="00B0701C"/>
    <w:rsid w:val="00B073C0"/>
    <w:rsid w:val="00B07769"/>
    <w:rsid w:val="00B07843"/>
    <w:rsid w:val="00B07903"/>
    <w:rsid w:val="00B0797E"/>
    <w:rsid w:val="00B07983"/>
    <w:rsid w:val="00B07B53"/>
    <w:rsid w:val="00B07FF4"/>
    <w:rsid w:val="00B1009E"/>
    <w:rsid w:val="00B10818"/>
    <w:rsid w:val="00B10B6E"/>
    <w:rsid w:val="00B10B9E"/>
    <w:rsid w:val="00B10CD6"/>
    <w:rsid w:val="00B113E5"/>
    <w:rsid w:val="00B11492"/>
    <w:rsid w:val="00B11517"/>
    <w:rsid w:val="00B117E0"/>
    <w:rsid w:val="00B11809"/>
    <w:rsid w:val="00B119A4"/>
    <w:rsid w:val="00B1216F"/>
    <w:rsid w:val="00B12511"/>
    <w:rsid w:val="00B129A4"/>
    <w:rsid w:val="00B12C26"/>
    <w:rsid w:val="00B12CAB"/>
    <w:rsid w:val="00B130D8"/>
    <w:rsid w:val="00B1338B"/>
    <w:rsid w:val="00B1376F"/>
    <w:rsid w:val="00B13EFE"/>
    <w:rsid w:val="00B13F61"/>
    <w:rsid w:val="00B1406F"/>
    <w:rsid w:val="00B14350"/>
    <w:rsid w:val="00B1435C"/>
    <w:rsid w:val="00B14429"/>
    <w:rsid w:val="00B14518"/>
    <w:rsid w:val="00B14BAE"/>
    <w:rsid w:val="00B14D15"/>
    <w:rsid w:val="00B14F50"/>
    <w:rsid w:val="00B150F0"/>
    <w:rsid w:val="00B1561F"/>
    <w:rsid w:val="00B157E7"/>
    <w:rsid w:val="00B15AD3"/>
    <w:rsid w:val="00B15B24"/>
    <w:rsid w:val="00B15CF1"/>
    <w:rsid w:val="00B15E73"/>
    <w:rsid w:val="00B15E77"/>
    <w:rsid w:val="00B16186"/>
    <w:rsid w:val="00B16416"/>
    <w:rsid w:val="00B16555"/>
    <w:rsid w:val="00B167A6"/>
    <w:rsid w:val="00B16A09"/>
    <w:rsid w:val="00B16AB4"/>
    <w:rsid w:val="00B16C17"/>
    <w:rsid w:val="00B16D7E"/>
    <w:rsid w:val="00B16DEC"/>
    <w:rsid w:val="00B16E0E"/>
    <w:rsid w:val="00B17002"/>
    <w:rsid w:val="00B17388"/>
    <w:rsid w:val="00B17412"/>
    <w:rsid w:val="00B17440"/>
    <w:rsid w:val="00B17516"/>
    <w:rsid w:val="00B1776B"/>
    <w:rsid w:val="00B17980"/>
    <w:rsid w:val="00B17BFA"/>
    <w:rsid w:val="00B200F0"/>
    <w:rsid w:val="00B202B7"/>
    <w:rsid w:val="00B20AB2"/>
    <w:rsid w:val="00B20DD0"/>
    <w:rsid w:val="00B20EF5"/>
    <w:rsid w:val="00B21029"/>
    <w:rsid w:val="00B2124E"/>
    <w:rsid w:val="00B213C6"/>
    <w:rsid w:val="00B21417"/>
    <w:rsid w:val="00B218BB"/>
    <w:rsid w:val="00B22198"/>
    <w:rsid w:val="00B225F5"/>
    <w:rsid w:val="00B22736"/>
    <w:rsid w:val="00B22812"/>
    <w:rsid w:val="00B229AD"/>
    <w:rsid w:val="00B229CD"/>
    <w:rsid w:val="00B22C00"/>
    <w:rsid w:val="00B22E56"/>
    <w:rsid w:val="00B22FBE"/>
    <w:rsid w:val="00B23082"/>
    <w:rsid w:val="00B2308C"/>
    <w:rsid w:val="00B233EE"/>
    <w:rsid w:val="00B2344B"/>
    <w:rsid w:val="00B2347A"/>
    <w:rsid w:val="00B239E1"/>
    <w:rsid w:val="00B23A46"/>
    <w:rsid w:val="00B23BC7"/>
    <w:rsid w:val="00B23C83"/>
    <w:rsid w:val="00B23EB9"/>
    <w:rsid w:val="00B24182"/>
    <w:rsid w:val="00B24321"/>
    <w:rsid w:val="00B24322"/>
    <w:rsid w:val="00B24422"/>
    <w:rsid w:val="00B247A4"/>
    <w:rsid w:val="00B24928"/>
    <w:rsid w:val="00B24A57"/>
    <w:rsid w:val="00B24C77"/>
    <w:rsid w:val="00B24E6E"/>
    <w:rsid w:val="00B24F62"/>
    <w:rsid w:val="00B2536A"/>
    <w:rsid w:val="00B2536B"/>
    <w:rsid w:val="00B2574B"/>
    <w:rsid w:val="00B258B4"/>
    <w:rsid w:val="00B25A21"/>
    <w:rsid w:val="00B25D6B"/>
    <w:rsid w:val="00B25ED7"/>
    <w:rsid w:val="00B261FD"/>
    <w:rsid w:val="00B26465"/>
    <w:rsid w:val="00B264FA"/>
    <w:rsid w:val="00B26686"/>
    <w:rsid w:val="00B26721"/>
    <w:rsid w:val="00B26775"/>
    <w:rsid w:val="00B267F1"/>
    <w:rsid w:val="00B26953"/>
    <w:rsid w:val="00B26AE0"/>
    <w:rsid w:val="00B26AEF"/>
    <w:rsid w:val="00B2709B"/>
    <w:rsid w:val="00B277F8"/>
    <w:rsid w:val="00B278C5"/>
    <w:rsid w:val="00B27BDB"/>
    <w:rsid w:val="00B27D12"/>
    <w:rsid w:val="00B27DFC"/>
    <w:rsid w:val="00B30173"/>
    <w:rsid w:val="00B301F9"/>
    <w:rsid w:val="00B3049A"/>
    <w:rsid w:val="00B304E5"/>
    <w:rsid w:val="00B309BE"/>
    <w:rsid w:val="00B30ABE"/>
    <w:rsid w:val="00B30E13"/>
    <w:rsid w:val="00B30FDD"/>
    <w:rsid w:val="00B3107C"/>
    <w:rsid w:val="00B3133A"/>
    <w:rsid w:val="00B314C5"/>
    <w:rsid w:val="00B31DB1"/>
    <w:rsid w:val="00B323A4"/>
    <w:rsid w:val="00B3246B"/>
    <w:rsid w:val="00B324ED"/>
    <w:rsid w:val="00B32673"/>
    <w:rsid w:val="00B32759"/>
    <w:rsid w:val="00B328A5"/>
    <w:rsid w:val="00B32EC4"/>
    <w:rsid w:val="00B3331C"/>
    <w:rsid w:val="00B33601"/>
    <w:rsid w:val="00B33629"/>
    <w:rsid w:val="00B33753"/>
    <w:rsid w:val="00B33B86"/>
    <w:rsid w:val="00B34291"/>
    <w:rsid w:val="00B34367"/>
    <w:rsid w:val="00B3455F"/>
    <w:rsid w:val="00B34C01"/>
    <w:rsid w:val="00B34F91"/>
    <w:rsid w:val="00B3530D"/>
    <w:rsid w:val="00B354EE"/>
    <w:rsid w:val="00B3557E"/>
    <w:rsid w:val="00B358D1"/>
    <w:rsid w:val="00B359FA"/>
    <w:rsid w:val="00B35A3C"/>
    <w:rsid w:val="00B35CD1"/>
    <w:rsid w:val="00B35DB3"/>
    <w:rsid w:val="00B35FBA"/>
    <w:rsid w:val="00B360E6"/>
    <w:rsid w:val="00B36132"/>
    <w:rsid w:val="00B366F1"/>
    <w:rsid w:val="00B36A93"/>
    <w:rsid w:val="00B36B1F"/>
    <w:rsid w:val="00B36B2B"/>
    <w:rsid w:val="00B36DC7"/>
    <w:rsid w:val="00B370AB"/>
    <w:rsid w:val="00B37759"/>
    <w:rsid w:val="00B378ED"/>
    <w:rsid w:val="00B37921"/>
    <w:rsid w:val="00B37D0E"/>
    <w:rsid w:val="00B37D18"/>
    <w:rsid w:val="00B403CF"/>
    <w:rsid w:val="00B40544"/>
    <w:rsid w:val="00B40899"/>
    <w:rsid w:val="00B40A31"/>
    <w:rsid w:val="00B40C2E"/>
    <w:rsid w:val="00B40D99"/>
    <w:rsid w:val="00B414D4"/>
    <w:rsid w:val="00B41604"/>
    <w:rsid w:val="00B4173C"/>
    <w:rsid w:val="00B4173F"/>
    <w:rsid w:val="00B418C0"/>
    <w:rsid w:val="00B420F6"/>
    <w:rsid w:val="00B422CA"/>
    <w:rsid w:val="00B42813"/>
    <w:rsid w:val="00B4288E"/>
    <w:rsid w:val="00B428B9"/>
    <w:rsid w:val="00B42B48"/>
    <w:rsid w:val="00B42C31"/>
    <w:rsid w:val="00B42E59"/>
    <w:rsid w:val="00B43078"/>
    <w:rsid w:val="00B43088"/>
    <w:rsid w:val="00B4325D"/>
    <w:rsid w:val="00B432FB"/>
    <w:rsid w:val="00B433BC"/>
    <w:rsid w:val="00B43955"/>
    <w:rsid w:val="00B44095"/>
    <w:rsid w:val="00B440BE"/>
    <w:rsid w:val="00B44188"/>
    <w:rsid w:val="00B44411"/>
    <w:rsid w:val="00B4444A"/>
    <w:rsid w:val="00B44A86"/>
    <w:rsid w:val="00B44CF5"/>
    <w:rsid w:val="00B45138"/>
    <w:rsid w:val="00B4513C"/>
    <w:rsid w:val="00B4544F"/>
    <w:rsid w:val="00B45547"/>
    <w:rsid w:val="00B45569"/>
    <w:rsid w:val="00B4557E"/>
    <w:rsid w:val="00B45A33"/>
    <w:rsid w:val="00B45A5E"/>
    <w:rsid w:val="00B45A6A"/>
    <w:rsid w:val="00B4617F"/>
    <w:rsid w:val="00B462DE"/>
    <w:rsid w:val="00B46335"/>
    <w:rsid w:val="00B464BD"/>
    <w:rsid w:val="00B46618"/>
    <w:rsid w:val="00B469FF"/>
    <w:rsid w:val="00B46AF9"/>
    <w:rsid w:val="00B46D12"/>
    <w:rsid w:val="00B46DFC"/>
    <w:rsid w:val="00B46E87"/>
    <w:rsid w:val="00B46FD6"/>
    <w:rsid w:val="00B47699"/>
    <w:rsid w:val="00B476E8"/>
    <w:rsid w:val="00B477C1"/>
    <w:rsid w:val="00B47DF8"/>
    <w:rsid w:val="00B5016F"/>
    <w:rsid w:val="00B50269"/>
    <w:rsid w:val="00B5036A"/>
    <w:rsid w:val="00B503CE"/>
    <w:rsid w:val="00B5069F"/>
    <w:rsid w:val="00B5088B"/>
    <w:rsid w:val="00B50A5A"/>
    <w:rsid w:val="00B50F18"/>
    <w:rsid w:val="00B51015"/>
    <w:rsid w:val="00B5142B"/>
    <w:rsid w:val="00B51718"/>
    <w:rsid w:val="00B5195C"/>
    <w:rsid w:val="00B519CD"/>
    <w:rsid w:val="00B51B14"/>
    <w:rsid w:val="00B51CED"/>
    <w:rsid w:val="00B51EA0"/>
    <w:rsid w:val="00B51F47"/>
    <w:rsid w:val="00B520F4"/>
    <w:rsid w:val="00B52405"/>
    <w:rsid w:val="00B524BF"/>
    <w:rsid w:val="00B5259D"/>
    <w:rsid w:val="00B525A3"/>
    <w:rsid w:val="00B5262F"/>
    <w:rsid w:val="00B52C65"/>
    <w:rsid w:val="00B52C98"/>
    <w:rsid w:val="00B538EC"/>
    <w:rsid w:val="00B53CFC"/>
    <w:rsid w:val="00B54435"/>
    <w:rsid w:val="00B5466A"/>
    <w:rsid w:val="00B54708"/>
    <w:rsid w:val="00B54776"/>
    <w:rsid w:val="00B5530B"/>
    <w:rsid w:val="00B5557B"/>
    <w:rsid w:val="00B557A9"/>
    <w:rsid w:val="00B559CA"/>
    <w:rsid w:val="00B55F18"/>
    <w:rsid w:val="00B560D1"/>
    <w:rsid w:val="00B56550"/>
    <w:rsid w:val="00B56608"/>
    <w:rsid w:val="00B56836"/>
    <w:rsid w:val="00B569C0"/>
    <w:rsid w:val="00B56B76"/>
    <w:rsid w:val="00B56D2D"/>
    <w:rsid w:val="00B56F11"/>
    <w:rsid w:val="00B56F27"/>
    <w:rsid w:val="00B56FE9"/>
    <w:rsid w:val="00B5711D"/>
    <w:rsid w:val="00B57320"/>
    <w:rsid w:val="00B574B2"/>
    <w:rsid w:val="00B574E6"/>
    <w:rsid w:val="00B574F1"/>
    <w:rsid w:val="00B57518"/>
    <w:rsid w:val="00B5771D"/>
    <w:rsid w:val="00B578CB"/>
    <w:rsid w:val="00B57C5F"/>
    <w:rsid w:val="00B57CF9"/>
    <w:rsid w:val="00B60031"/>
    <w:rsid w:val="00B602C8"/>
    <w:rsid w:val="00B60484"/>
    <w:rsid w:val="00B60570"/>
    <w:rsid w:val="00B605B1"/>
    <w:rsid w:val="00B6066A"/>
    <w:rsid w:val="00B608FA"/>
    <w:rsid w:val="00B60F64"/>
    <w:rsid w:val="00B61246"/>
    <w:rsid w:val="00B6145C"/>
    <w:rsid w:val="00B614E3"/>
    <w:rsid w:val="00B616DC"/>
    <w:rsid w:val="00B619E8"/>
    <w:rsid w:val="00B61F72"/>
    <w:rsid w:val="00B61FF3"/>
    <w:rsid w:val="00B62B60"/>
    <w:rsid w:val="00B62F5B"/>
    <w:rsid w:val="00B6328D"/>
    <w:rsid w:val="00B6350A"/>
    <w:rsid w:val="00B63644"/>
    <w:rsid w:val="00B637CB"/>
    <w:rsid w:val="00B63DA0"/>
    <w:rsid w:val="00B64356"/>
    <w:rsid w:val="00B6446E"/>
    <w:rsid w:val="00B6448F"/>
    <w:rsid w:val="00B6480B"/>
    <w:rsid w:val="00B64AAB"/>
    <w:rsid w:val="00B64BE0"/>
    <w:rsid w:val="00B64CA8"/>
    <w:rsid w:val="00B64CFE"/>
    <w:rsid w:val="00B64E85"/>
    <w:rsid w:val="00B64F08"/>
    <w:rsid w:val="00B651E9"/>
    <w:rsid w:val="00B6550E"/>
    <w:rsid w:val="00B65595"/>
    <w:rsid w:val="00B65717"/>
    <w:rsid w:val="00B65AB0"/>
    <w:rsid w:val="00B65E79"/>
    <w:rsid w:val="00B65FDE"/>
    <w:rsid w:val="00B660B9"/>
    <w:rsid w:val="00B661D5"/>
    <w:rsid w:val="00B66300"/>
    <w:rsid w:val="00B6650A"/>
    <w:rsid w:val="00B6652A"/>
    <w:rsid w:val="00B66BAA"/>
    <w:rsid w:val="00B66CB1"/>
    <w:rsid w:val="00B66E32"/>
    <w:rsid w:val="00B6718C"/>
    <w:rsid w:val="00B67239"/>
    <w:rsid w:val="00B67649"/>
    <w:rsid w:val="00B677D2"/>
    <w:rsid w:val="00B67A70"/>
    <w:rsid w:val="00B701C0"/>
    <w:rsid w:val="00B703A0"/>
    <w:rsid w:val="00B70674"/>
    <w:rsid w:val="00B706E5"/>
    <w:rsid w:val="00B7096C"/>
    <w:rsid w:val="00B70AA7"/>
    <w:rsid w:val="00B70BC1"/>
    <w:rsid w:val="00B70C41"/>
    <w:rsid w:val="00B70D23"/>
    <w:rsid w:val="00B711DB"/>
    <w:rsid w:val="00B71274"/>
    <w:rsid w:val="00B714C5"/>
    <w:rsid w:val="00B71B5C"/>
    <w:rsid w:val="00B71F82"/>
    <w:rsid w:val="00B7229B"/>
    <w:rsid w:val="00B72836"/>
    <w:rsid w:val="00B72AB9"/>
    <w:rsid w:val="00B73008"/>
    <w:rsid w:val="00B73041"/>
    <w:rsid w:val="00B731C7"/>
    <w:rsid w:val="00B736EE"/>
    <w:rsid w:val="00B738D0"/>
    <w:rsid w:val="00B73AA1"/>
    <w:rsid w:val="00B73C58"/>
    <w:rsid w:val="00B73D1B"/>
    <w:rsid w:val="00B742C4"/>
    <w:rsid w:val="00B7447E"/>
    <w:rsid w:val="00B7451A"/>
    <w:rsid w:val="00B74646"/>
    <w:rsid w:val="00B7464A"/>
    <w:rsid w:val="00B747C3"/>
    <w:rsid w:val="00B74E2C"/>
    <w:rsid w:val="00B74E84"/>
    <w:rsid w:val="00B75091"/>
    <w:rsid w:val="00B751E6"/>
    <w:rsid w:val="00B7528E"/>
    <w:rsid w:val="00B752E9"/>
    <w:rsid w:val="00B75A75"/>
    <w:rsid w:val="00B75CBC"/>
    <w:rsid w:val="00B75D66"/>
    <w:rsid w:val="00B75D85"/>
    <w:rsid w:val="00B760B8"/>
    <w:rsid w:val="00B76175"/>
    <w:rsid w:val="00B7691E"/>
    <w:rsid w:val="00B76A48"/>
    <w:rsid w:val="00B76D9B"/>
    <w:rsid w:val="00B7722C"/>
    <w:rsid w:val="00B7730D"/>
    <w:rsid w:val="00B77499"/>
    <w:rsid w:val="00B7781D"/>
    <w:rsid w:val="00B7798F"/>
    <w:rsid w:val="00B77BE5"/>
    <w:rsid w:val="00B77DA7"/>
    <w:rsid w:val="00B77F88"/>
    <w:rsid w:val="00B801C5"/>
    <w:rsid w:val="00B80464"/>
    <w:rsid w:val="00B806BC"/>
    <w:rsid w:val="00B80DBD"/>
    <w:rsid w:val="00B80E8D"/>
    <w:rsid w:val="00B80EC8"/>
    <w:rsid w:val="00B80FF4"/>
    <w:rsid w:val="00B81045"/>
    <w:rsid w:val="00B81134"/>
    <w:rsid w:val="00B8123D"/>
    <w:rsid w:val="00B812ED"/>
    <w:rsid w:val="00B8132C"/>
    <w:rsid w:val="00B813E5"/>
    <w:rsid w:val="00B81672"/>
    <w:rsid w:val="00B818CA"/>
    <w:rsid w:val="00B819B8"/>
    <w:rsid w:val="00B81DA7"/>
    <w:rsid w:val="00B81DFF"/>
    <w:rsid w:val="00B8218B"/>
    <w:rsid w:val="00B8224C"/>
    <w:rsid w:val="00B823FB"/>
    <w:rsid w:val="00B82470"/>
    <w:rsid w:val="00B82903"/>
    <w:rsid w:val="00B833F5"/>
    <w:rsid w:val="00B8409C"/>
    <w:rsid w:val="00B840FD"/>
    <w:rsid w:val="00B84343"/>
    <w:rsid w:val="00B843D7"/>
    <w:rsid w:val="00B845FD"/>
    <w:rsid w:val="00B847A5"/>
    <w:rsid w:val="00B84909"/>
    <w:rsid w:val="00B84AC6"/>
    <w:rsid w:val="00B84B37"/>
    <w:rsid w:val="00B84BD9"/>
    <w:rsid w:val="00B84D85"/>
    <w:rsid w:val="00B84FD2"/>
    <w:rsid w:val="00B8552C"/>
    <w:rsid w:val="00B8575C"/>
    <w:rsid w:val="00B857C6"/>
    <w:rsid w:val="00B85916"/>
    <w:rsid w:val="00B85C77"/>
    <w:rsid w:val="00B862BD"/>
    <w:rsid w:val="00B8644B"/>
    <w:rsid w:val="00B864AF"/>
    <w:rsid w:val="00B867B7"/>
    <w:rsid w:val="00B86A3D"/>
    <w:rsid w:val="00B86BE3"/>
    <w:rsid w:val="00B86D1B"/>
    <w:rsid w:val="00B86DE5"/>
    <w:rsid w:val="00B87046"/>
    <w:rsid w:val="00B87315"/>
    <w:rsid w:val="00B87356"/>
    <w:rsid w:val="00B87396"/>
    <w:rsid w:val="00B874EC"/>
    <w:rsid w:val="00B878DE"/>
    <w:rsid w:val="00B87A7F"/>
    <w:rsid w:val="00B87B2D"/>
    <w:rsid w:val="00B87B86"/>
    <w:rsid w:val="00B87CDE"/>
    <w:rsid w:val="00B87DB2"/>
    <w:rsid w:val="00B87DD1"/>
    <w:rsid w:val="00B9003C"/>
    <w:rsid w:val="00B909DE"/>
    <w:rsid w:val="00B90E06"/>
    <w:rsid w:val="00B90EEB"/>
    <w:rsid w:val="00B90F22"/>
    <w:rsid w:val="00B911FB"/>
    <w:rsid w:val="00B917BA"/>
    <w:rsid w:val="00B920E7"/>
    <w:rsid w:val="00B92316"/>
    <w:rsid w:val="00B92744"/>
    <w:rsid w:val="00B93703"/>
    <w:rsid w:val="00B9377E"/>
    <w:rsid w:val="00B93954"/>
    <w:rsid w:val="00B939D2"/>
    <w:rsid w:val="00B939EC"/>
    <w:rsid w:val="00B93CC2"/>
    <w:rsid w:val="00B93CD7"/>
    <w:rsid w:val="00B93D27"/>
    <w:rsid w:val="00B93EC9"/>
    <w:rsid w:val="00B94286"/>
    <w:rsid w:val="00B949C2"/>
    <w:rsid w:val="00B949F0"/>
    <w:rsid w:val="00B94D23"/>
    <w:rsid w:val="00B9502B"/>
    <w:rsid w:val="00B95246"/>
    <w:rsid w:val="00B95305"/>
    <w:rsid w:val="00B95DF7"/>
    <w:rsid w:val="00B96115"/>
    <w:rsid w:val="00B961D1"/>
    <w:rsid w:val="00B96356"/>
    <w:rsid w:val="00B96516"/>
    <w:rsid w:val="00B965C6"/>
    <w:rsid w:val="00B96A8E"/>
    <w:rsid w:val="00B96D2E"/>
    <w:rsid w:val="00B96D7B"/>
    <w:rsid w:val="00B96FA6"/>
    <w:rsid w:val="00B9704D"/>
    <w:rsid w:val="00B972EF"/>
    <w:rsid w:val="00B9753F"/>
    <w:rsid w:val="00B9771B"/>
    <w:rsid w:val="00B9784D"/>
    <w:rsid w:val="00B97B0C"/>
    <w:rsid w:val="00B97BB5"/>
    <w:rsid w:val="00B97C12"/>
    <w:rsid w:val="00B97E4D"/>
    <w:rsid w:val="00BA0283"/>
    <w:rsid w:val="00BA02CE"/>
    <w:rsid w:val="00BA04BB"/>
    <w:rsid w:val="00BA055B"/>
    <w:rsid w:val="00BA076E"/>
    <w:rsid w:val="00BA082D"/>
    <w:rsid w:val="00BA09D6"/>
    <w:rsid w:val="00BA0AA3"/>
    <w:rsid w:val="00BA0B39"/>
    <w:rsid w:val="00BA11B6"/>
    <w:rsid w:val="00BA1496"/>
    <w:rsid w:val="00BA160F"/>
    <w:rsid w:val="00BA18BD"/>
    <w:rsid w:val="00BA1CC4"/>
    <w:rsid w:val="00BA1D9F"/>
    <w:rsid w:val="00BA1FE4"/>
    <w:rsid w:val="00BA213E"/>
    <w:rsid w:val="00BA24AB"/>
    <w:rsid w:val="00BA2B95"/>
    <w:rsid w:val="00BA30AF"/>
    <w:rsid w:val="00BA3364"/>
    <w:rsid w:val="00BA337D"/>
    <w:rsid w:val="00BA339F"/>
    <w:rsid w:val="00BA3896"/>
    <w:rsid w:val="00BA3D68"/>
    <w:rsid w:val="00BA3E3A"/>
    <w:rsid w:val="00BA3F18"/>
    <w:rsid w:val="00BA4007"/>
    <w:rsid w:val="00BA407C"/>
    <w:rsid w:val="00BA424F"/>
    <w:rsid w:val="00BA51A4"/>
    <w:rsid w:val="00BA55BE"/>
    <w:rsid w:val="00BA560E"/>
    <w:rsid w:val="00BA56F0"/>
    <w:rsid w:val="00BA57A2"/>
    <w:rsid w:val="00BA5838"/>
    <w:rsid w:val="00BA5BAF"/>
    <w:rsid w:val="00BA5E78"/>
    <w:rsid w:val="00BA5FE0"/>
    <w:rsid w:val="00BA63F9"/>
    <w:rsid w:val="00BA714E"/>
    <w:rsid w:val="00BA71DE"/>
    <w:rsid w:val="00BA726B"/>
    <w:rsid w:val="00BA748E"/>
    <w:rsid w:val="00BA74D6"/>
    <w:rsid w:val="00BA787B"/>
    <w:rsid w:val="00BA78BC"/>
    <w:rsid w:val="00BA7D54"/>
    <w:rsid w:val="00BB0208"/>
    <w:rsid w:val="00BB032E"/>
    <w:rsid w:val="00BB03D5"/>
    <w:rsid w:val="00BB0425"/>
    <w:rsid w:val="00BB0880"/>
    <w:rsid w:val="00BB0B3E"/>
    <w:rsid w:val="00BB0B68"/>
    <w:rsid w:val="00BB0F78"/>
    <w:rsid w:val="00BB11E4"/>
    <w:rsid w:val="00BB18AB"/>
    <w:rsid w:val="00BB1A37"/>
    <w:rsid w:val="00BB1D76"/>
    <w:rsid w:val="00BB1F70"/>
    <w:rsid w:val="00BB2179"/>
    <w:rsid w:val="00BB2225"/>
    <w:rsid w:val="00BB23B4"/>
    <w:rsid w:val="00BB24BC"/>
    <w:rsid w:val="00BB25BA"/>
    <w:rsid w:val="00BB2AD6"/>
    <w:rsid w:val="00BB2B8E"/>
    <w:rsid w:val="00BB2C39"/>
    <w:rsid w:val="00BB2C82"/>
    <w:rsid w:val="00BB2E07"/>
    <w:rsid w:val="00BB2F31"/>
    <w:rsid w:val="00BB2FB5"/>
    <w:rsid w:val="00BB2FB9"/>
    <w:rsid w:val="00BB311E"/>
    <w:rsid w:val="00BB34AA"/>
    <w:rsid w:val="00BB370F"/>
    <w:rsid w:val="00BB37A4"/>
    <w:rsid w:val="00BB392A"/>
    <w:rsid w:val="00BB3A83"/>
    <w:rsid w:val="00BB3B13"/>
    <w:rsid w:val="00BB3F8E"/>
    <w:rsid w:val="00BB4003"/>
    <w:rsid w:val="00BB416B"/>
    <w:rsid w:val="00BB4473"/>
    <w:rsid w:val="00BB45A7"/>
    <w:rsid w:val="00BB46BE"/>
    <w:rsid w:val="00BB4A75"/>
    <w:rsid w:val="00BB4B4A"/>
    <w:rsid w:val="00BB501D"/>
    <w:rsid w:val="00BB522E"/>
    <w:rsid w:val="00BB52A5"/>
    <w:rsid w:val="00BB52E4"/>
    <w:rsid w:val="00BB5320"/>
    <w:rsid w:val="00BB53C4"/>
    <w:rsid w:val="00BB54D9"/>
    <w:rsid w:val="00BB568C"/>
    <w:rsid w:val="00BB5901"/>
    <w:rsid w:val="00BB5AA7"/>
    <w:rsid w:val="00BB5C47"/>
    <w:rsid w:val="00BB6042"/>
    <w:rsid w:val="00BB6390"/>
    <w:rsid w:val="00BB63C2"/>
    <w:rsid w:val="00BB6628"/>
    <w:rsid w:val="00BB67CE"/>
    <w:rsid w:val="00BB68E1"/>
    <w:rsid w:val="00BB69AA"/>
    <w:rsid w:val="00BB6EE3"/>
    <w:rsid w:val="00BB736B"/>
    <w:rsid w:val="00BB73D1"/>
    <w:rsid w:val="00BB760E"/>
    <w:rsid w:val="00BB767B"/>
    <w:rsid w:val="00BB7B2C"/>
    <w:rsid w:val="00BC005E"/>
    <w:rsid w:val="00BC0369"/>
    <w:rsid w:val="00BC0587"/>
    <w:rsid w:val="00BC0741"/>
    <w:rsid w:val="00BC098E"/>
    <w:rsid w:val="00BC0DAF"/>
    <w:rsid w:val="00BC10CA"/>
    <w:rsid w:val="00BC14F4"/>
    <w:rsid w:val="00BC177D"/>
    <w:rsid w:val="00BC1AE4"/>
    <w:rsid w:val="00BC1BD0"/>
    <w:rsid w:val="00BC1EFC"/>
    <w:rsid w:val="00BC1F0C"/>
    <w:rsid w:val="00BC2320"/>
    <w:rsid w:val="00BC2424"/>
    <w:rsid w:val="00BC2445"/>
    <w:rsid w:val="00BC29BD"/>
    <w:rsid w:val="00BC2D66"/>
    <w:rsid w:val="00BC3016"/>
    <w:rsid w:val="00BC3089"/>
    <w:rsid w:val="00BC32E6"/>
    <w:rsid w:val="00BC3393"/>
    <w:rsid w:val="00BC33B1"/>
    <w:rsid w:val="00BC3759"/>
    <w:rsid w:val="00BC38EB"/>
    <w:rsid w:val="00BC3A40"/>
    <w:rsid w:val="00BC3CDD"/>
    <w:rsid w:val="00BC4124"/>
    <w:rsid w:val="00BC45CF"/>
    <w:rsid w:val="00BC4A81"/>
    <w:rsid w:val="00BC4DC9"/>
    <w:rsid w:val="00BC508D"/>
    <w:rsid w:val="00BC5329"/>
    <w:rsid w:val="00BC547E"/>
    <w:rsid w:val="00BC5514"/>
    <w:rsid w:val="00BC568D"/>
    <w:rsid w:val="00BC5A38"/>
    <w:rsid w:val="00BC5AD8"/>
    <w:rsid w:val="00BC5B99"/>
    <w:rsid w:val="00BC6272"/>
    <w:rsid w:val="00BC63B7"/>
    <w:rsid w:val="00BC6467"/>
    <w:rsid w:val="00BC64A9"/>
    <w:rsid w:val="00BC684C"/>
    <w:rsid w:val="00BC6941"/>
    <w:rsid w:val="00BC6ADA"/>
    <w:rsid w:val="00BC6E87"/>
    <w:rsid w:val="00BC6F3A"/>
    <w:rsid w:val="00BC6F63"/>
    <w:rsid w:val="00BC7149"/>
    <w:rsid w:val="00BC722D"/>
    <w:rsid w:val="00BC7A7B"/>
    <w:rsid w:val="00BC7A8B"/>
    <w:rsid w:val="00BC7C94"/>
    <w:rsid w:val="00BD0199"/>
    <w:rsid w:val="00BD0215"/>
    <w:rsid w:val="00BD0542"/>
    <w:rsid w:val="00BD05A4"/>
    <w:rsid w:val="00BD07D3"/>
    <w:rsid w:val="00BD082C"/>
    <w:rsid w:val="00BD0CAF"/>
    <w:rsid w:val="00BD0D61"/>
    <w:rsid w:val="00BD0F3B"/>
    <w:rsid w:val="00BD1195"/>
    <w:rsid w:val="00BD1911"/>
    <w:rsid w:val="00BD1A8A"/>
    <w:rsid w:val="00BD1AD9"/>
    <w:rsid w:val="00BD1BE1"/>
    <w:rsid w:val="00BD1C7D"/>
    <w:rsid w:val="00BD1D6B"/>
    <w:rsid w:val="00BD2253"/>
    <w:rsid w:val="00BD22FC"/>
    <w:rsid w:val="00BD2694"/>
    <w:rsid w:val="00BD28F8"/>
    <w:rsid w:val="00BD2929"/>
    <w:rsid w:val="00BD296E"/>
    <w:rsid w:val="00BD2AD8"/>
    <w:rsid w:val="00BD2AFC"/>
    <w:rsid w:val="00BD2D53"/>
    <w:rsid w:val="00BD2F1C"/>
    <w:rsid w:val="00BD30E9"/>
    <w:rsid w:val="00BD33C9"/>
    <w:rsid w:val="00BD3546"/>
    <w:rsid w:val="00BD3A97"/>
    <w:rsid w:val="00BD3DB2"/>
    <w:rsid w:val="00BD424A"/>
    <w:rsid w:val="00BD42B7"/>
    <w:rsid w:val="00BD4320"/>
    <w:rsid w:val="00BD4484"/>
    <w:rsid w:val="00BD45CC"/>
    <w:rsid w:val="00BD470B"/>
    <w:rsid w:val="00BD4ACE"/>
    <w:rsid w:val="00BD5007"/>
    <w:rsid w:val="00BD5527"/>
    <w:rsid w:val="00BD5B9C"/>
    <w:rsid w:val="00BD5D63"/>
    <w:rsid w:val="00BD6045"/>
    <w:rsid w:val="00BD6089"/>
    <w:rsid w:val="00BD6399"/>
    <w:rsid w:val="00BD6433"/>
    <w:rsid w:val="00BD6722"/>
    <w:rsid w:val="00BD693D"/>
    <w:rsid w:val="00BD6974"/>
    <w:rsid w:val="00BD6DE5"/>
    <w:rsid w:val="00BD7471"/>
    <w:rsid w:val="00BD78AE"/>
    <w:rsid w:val="00BD7F4C"/>
    <w:rsid w:val="00BE03FC"/>
    <w:rsid w:val="00BE0873"/>
    <w:rsid w:val="00BE0A66"/>
    <w:rsid w:val="00BE1289"/>
    <w:rsid w:val="00BE1449"/>
    <w:rsid w:val="00BE1536"/>
    <w:rsid w:val="00BE153A"/>
    <w:rsid w:val="00BE15A2"/>
    <w:rsid w:val="00BE15A5"/>
    <w:rsid w:val="00BE1732"/>
    <w:rsid w:val="00BE17B2"/>
    <w:rsid w:val="00BE1948"/>
    <w:rsid w:val="00BE1AE4"/>
    <w:rsid w:val="00BE1C1B"/>
    <w:rsid w:val="00BE1E5B"/>
    <w:rsid w:val="00BE2442"/>
    <w:rsid w:val="00BE2838"/>
    <w:rsid w:val="00BE28C6"/>
    <w:rsid w:val="00BE2EDC"/>
    <w:rsid w:val="00BE32D1"/>
    <w:rsid w:val="00BE3539"/>
    <w:rsid w:val="00BE3823"/>
    <w:rsid w:val="00BE3A14"/>
    <w:rsid w:val="00BE3C82"/>
    <w:rsid w:val="00BE3DD8"/>
    <w:rsid w:val="00BE3F9D"/>
    <w:rsid w:val="00BE4112"/>
    <w:rsid w:val="00BE4241"/>
    <w:rsid w:val="00BE42BB"/>
    <w:rsid w:val="00BE434C"/>
    <w:rsid w:val="00BE4753"/>
    <w:rsid w:val="00BE4B64"/>
    <w:rsid w:val="00BE4BED"/>
    <w:rsid w:val="00BE5153"/>
    <w:rsid w:val="00BE51EB"/>
    <w:rsid w:val="00BE550B"/>
    <w:rsid w:val="00BE5D4D"/>
    <w:rsid w:val="00BE5E5F"/>
    <w:rsid w:val="00BE6521"/>
    <w:rsid w:val="00BE6B47"/>
    <w:rsid w:val="00BE6BC5"/>
    <w:rsid w:val="00BE6C1B"/>
    <w:rsid w:val="00BE6D58"/>
    <w:rsid w:val="00BE749A"/>
    <w:rsid w:val="00BE74DF"/>
    <w:rsid w:val="00BE75B9"/>
    <w:rsid w:val="00BE7B08"/>
    <w:rsid w:val="00BE7BAF"/>
    <w:rsid w:val="00BE7E96"/>
    <w:rsid w:val="00BE7EB9"/>
    <w:rsid w:val="00BF0146"/>
    <w:rsid w:val="00BF03DC"/>
    <w:rsid w:val="00BF051E"/>
    <w:rsid w:val="00BF056D"/>
    <w:rsid w:val="00BF0621"/>
    <w:rsid w:val="00BF0892"/>
    <w:rsid w:val="00BF08D0"/>
    <w:rsid w:val="00BF099D"/>
    <w:rsid w:val="00BF09ED"/>
    <w:rsid w:val="00BF0DA0"/>
    <w:rsid w:val="00BF12D4"/>
    <w:rsid w:val="00BF1564"/>
    <w:rsid w:val="00BF1755"/>
    <w:rsid w:val="00BF17A7"/>
    <w:rsid w:val="00BF1875"/>
    <w:rsid w:val="00BF1A2E"/>
    <w:rsid w:val="00BF2318"/>
    <w:rsid w:val="00BF26A1"/>
    <w:rsid w:val="00BF273F"/>
    <w:rsid w:val="00BF27CC"/>
    <w:rsid w:val="00BF2D69"/>
    <w:rsid w:val="00BF2DE0"/>
    <w:rsid w:val="00BF2FA4"/>
    <w:rsid w:val="00BF30D9"/>
    <w:rsid w:val="00BF30DF"/>
    <w:rsid w:val="00BF3154"/>
    <w:rsid w:val="00BF31BB"/>
    <w:rsid w:val="00BF37C5"/>
    <w:rsid w:val="00BF3E23"/>
    <w:rsid w:val="00BF3F9D"/>
    <w:rsid w:val="00BF4041"/>
    <w:rsid w:val="00BF42B7"/>
    <w:rsid w:val="00BF42FE"/>
    <w:rsid w:val="00BF4415"/>
    <w:rsid w:val="00BF48B7"/>
    <w:rsid w:val="00BF4D84"/>
    <w:rsid w:val="00BF4EC4"/>
    <w:rsid w:val="00BF4F36"/>
    <w:rsid w:val="00BF4F9A"/>
    <w:rsid w:val="00BF5113"/>
    <w:rsid w:val="00BF5179"/>
    <w:rsid w:val="00BF52A2"/>
    <w:rsid w:val="00BF535E"/>
    <w:rsid w:val="00BF6477"/>
    <w:rsid w:val="00BF6681"/>
    <w:rsid w:val="00BF6F38"/>
    <w:rsid w:val="00BF71B3"/>
    <w:rsid w:val="00BF743E"/>
    <w:rsid w:val="00BF781F"/>
    <w:rsid w:val="00BF7859"/>
    <w:rsid w:val="00BF7B6D"/>
    <w:rsid w:val="00BF7D3C"/>
    <w:rsid w:val="00BF7D9B"/>
    <w:rsid w:val="00BF7DC4"/>
    <w:rsid w:val="00BF7EEE"/>
    <w:rsid w:val="00C00174"/>
    <w:rsid w:val="00C005D9"/>
    <w:rsid w:val="00C00A6F"/>
    <w:rsid w:val="00C00DA8"/>
    <w:rsid w:val="00C00EEF"/>
    <w:rsid w:val="00C019FF"/>
    <w:rsid w:val="00C01C70"/>
    <w:rsid w:val="00C01EAB"/>
    <w:rsid w:val="00C01F62"/>
    <w:rsid w:val="00C01F7E"/>
    <w:rsid w:val="00C02027"/>
    <w:rsid w:val="00C0208B"/>
    <w:rsid w:val="00C0219A"/>
    <w:rsid w:val="00C0225C"/>
    <w:rsid w:val="00C02442"/>
    <w:rsid w:val="00C025A4"/>
    <w:rsid w:val="00C027CF"/>
    <w:rsid w:val="00C02995"/>
    <w:rsid w:val="00C02BBD"/>
    <w:rsid w:val="00C02DD2"/>
    <w:rsid w:val="00C03051"/>
    <w:rsid w:val="00C03381"/>
    <w:rsid w:val="00C036AC"/>
    <w:rsid w:val="00C03775"/>
    <w:rsid w:val="00C03896"/>
    <w:rsid w:val="00C038D6"/>
    <w:rsid w:val="00C0405F"/>
    <w:rsid w:val="00C0413B"/>
    <w:rsid w:val="00C04205"/>
    <w:rsid w:val="00C042DD"/>
    <w:rsid w:val="00C04956"/>
    <w:rsid w:val="00C0499B"/>
    <w:rsid w:val="00C049B8"/>
    <w:rsid w:val="00C04A94"/>
    <w:rsid w:val="00C04E11"/>
    <w:rsid w:val="00C0531E"/>
    <w:rsid w:val="00C056BF"/>
    <w:rsid w:val="00C058AC"/>
    <w:rsid w:val="00C059CB"/>
    <w:rsid w:val="00C05C15"/>
    <w:rsid w:val="00C05E1E"/>
    <w:rsid w:val="00C05FF2"/>
    <w:rsid w:val="00C06422"/>
    <w:rsid w:val="00C064D9"/>
    <w:rsid w:val="00C06684"/>
    <w:rsid w:val="00C0670B"/>
    <w:rsid w:val="00C06984"/>
    <w:rsid w:val="00C069E4"/>
    <w:rsid w:val="00C06DDC"/>
    <w:rsid w:val="00C06DEF"/>
    <w:rsid w:val="00C06EBC"/>
    <w:rsid w:val="00C07231"/>
    <w:rsid w:val="00C072FC"/>
    <w:rsid w:val="00C07421"/>
    <w:rsid w:val="00C1010D"/>
    <w:rsid w:val="00C1058B"/>
    <w:rsid w:val="00C10675"/>
    <w:rsid w:val="00C10827"/>
    <w:rsid w:val="00C10D46"/>
    <w:rsid w:val="00C10D67"/>
    <w:rsid w:val="00C10E04"/>
    <w:rsid w:val="00C10F1D"/>
    <w:rsid w:val="00C10F5C"/>
    <w:rsid w:val="00C11156"/>
    <w:rsid w:val="00C111D8"/>
    <w:rsid w:val="00C11362"/>
    <w:rsid w:val="00C113D6"/>
    <w:rsid w:val="00C11453"/>
    <w:rsid w:val="00C11461"/>
    <w:rsid w:val="00C1149B"/>
    <w:rsid w:val="00C1182E"/>
    <w:rsid w:val="00C11A53"/>
    <w:rsid w:val="00C1234E"/>
    <w:rsid w:val="00C1270A"/>
    <w:rsid w:val="00C128AC"/>
    <w:rsid w:val="00C129BC"/>
    <w:rsid w:val="00C12AF6"/>
    <w:rsid w:val="00C12FAA"/>
    <w:rsid w:val="00C131A3"/>
    <w:rsid w:val="00C1321B"/>
    <w:rsid w:val="00C13361"/>
    <w:rsid w:val="00C135E4"/>
    <w:rsid w:val="00C136EA"/>
    <w:rsid w:val="00C138C8"/>
    <w:rsid w:val="00C1397D"/>
    <w:rsid w:val="00C14183"/>
    <w:rsid w:val="00C14BD9"/>
    <w:rsid w:val="00C14FB2"/>
    <w:rsid w:val="00C150E3"/>
    <w:rsid w:val="00C152D1"/>
    <w:rsid w:val="00C153A0"/>
    <w:rsid w:val="00C15462"/>
    <w:rsid w:val="00C155E3"/>
    <w:rsid w:val="00C1568B"/>
    <w:rsid w:val="00C15727"/>
    <w:rsid w:val="00C15C35"/>
    <w:rsid w:val="00C15CB3"/>
    <w:rsid w:val="00C1609B"/>
    <w:rsid w:val="00C16475"/>
    <w:rsid w:val="00C16756"/>
    <w:rsid w:val="00C16A9B"/>
    <w:rsid w:val="00C16AA8"/>
    <w:rsid w:val="00C16AEE"/>
    <w:rsid w:val="00C16E20"/>
    <w:rsid w:val="00C16F20"/>
    <w:rsid w:val="00C17244"/>
    <w:rsid w:val="00C1732C"/>
    <w:rsid w:val="00C17492"/>
    <w:rsid w:val="00C17714"/>
    <w:rsid w:val="00C177F3"/>
    <w:rsid w:val="00C1788A"/>
    <w:rsid w:val="00C1798E"/>
    <w:rsid w:val="00C17AB1"/>
    <w:rsid w:val="00C17C99"/>
    <w:rsid w:val="00C201C1"/>
    <w:rsid w:val="00C202D6"/>
    <w:rsid w:val="00C20379"/>
    <w:rsid w:val="00C20403"/>
    <w:rsid w:val="00C2042A"/>
    <w:rsid w:val="00C20796"/>
    <w:rsid w:val="00C207BA"/>
    <w:rsid w:val="00C2092F"/>
    <w:rsid w:val="00C20AAD"/>
    <w:rsid w:val="00C20EEF"/>
    <w:rsid w:val="00C20F16"/>
    <w:rsid w:val="00C21107"/>
    <w:rsid w:val="00C211BA"/>
    <w:rsid w:val="00C21377"/>
    <w:rsid w:val="00C21EB2"/>
    <w:rsid w:val="00C21F1D"/>
    <w:rsid w:val="00C21FD2"/>
    <w:rsid w:val="00C224F6"/>
    <w:rsid w:val="00C2257E"/>
    <w:rsid w:val="00C22770"/>
    <w:rsid w:val="00C227CA"/>
    <w:rsid w:val="00C2296B"/>
    <w:rsid w:val="00C22A20"/>
    <w:rsid w:val="00C22AF0"/>
    <w:rsid w:val="00C22C01"/>
    <w:rsid w:val="00C22C31"/>
    <w:rsid w:val="00C22CD4"/>
    <w:rsid w:val="00C22CFE"/>
    <w:rsid w:val="00C236AD"/>
    <w:rsid w:val="00C236C8"/>
    <w:rsid w:val="00C23977"/>
    <w:rsid w:val="00C23ADD"/>
    <w:rsid w:val="00C23CBC"/>
    <w:rsid w:val="00C24128"/>
    <w:rsid w:val="00C244A6"/>
    <w:rsid w:val="00C244FE"/>
    <w:rsid w:val="00C24652"/>
    <w:rsid w:val="00C24847"/>
    <w:rsid w:val="00C24A2D"/>
    <w:rsid w:val="00C24BBE"/>
    <w:rsid w:val="00C25072"/>
    <w:rsid w:val="00C251F1"/>
    <w:rsid w:val="00C25239"/>
    <w:rsid w:val="00C254BF"/>
    <w:rsid w:val="00C256C2"/>
    <w:rsid w:val="00C25872"/>
    <w:rsid w:val="00C25956"/>
    <w:rsid w:val="00C25980"/>
    <w:rsid w:val="00C25B65"/>
    <w:rsid w:val="00C25BEB"/>
    <w:rsid w:val="00C25C6F"/>
    <w:rsid w:val="00C25FBC"/>
    <w:rsid w:val="00C26369"/>
    <w:rsid w:val="00C267A7"/>
    <w:rsid w:val="00C26B30"/>
    <w:rsid w:val="00C26B8F"/>
    <w:rsid w:val="00C26D81"/>
    <w:rsid w:val="00C26E4E"/>
    <w:rsid w:val="00C27411"/>
    <w:rsid w:val="00C27722"/>
    <w:rsid w:val="00C277C7"/>
    <w:rsid w:val="00C30066"/>
    <w:rsid w:val="00C30150"/>
    <w:rsid w:val="00C304C5"/>
    <w:rsid w:val="00C30557"/>
    <w:rsid w:val="00C307DD"/>
    <w:rsid w:val="00C30AA7"/>
    <w:rsid w:val="00C30AD8"/>
    <w:rsid w:val="00C30BB8"/>
    <w:rsid w:val="00C30D3B"/>
    <w:rsid w:val="00C30E1B"/>
    <w:rsid w:val="00C30F2B"/>
    <w:rsid w:val="00C30FD2"/>
    <w:rsid w:val="00C31077"/>
    <w:rsid w:val="00C310AD"/>
    <w:rsid w:val="00C31251"/>
    <w:rsid w:val="00C3126E"/>
    <w:rsid w:val="00C313AE"/>
    <w:rsid w:val="00C31538"/>
    <w:rsid w:val="00C316D0"/>
    <w:rsid w:val="00C31799"/>
    <w:rsid w:val="00C31C97"/>
    <w:rsid w:val="00C31DDA"/>
    <w:rsid w:val="00C31E97"/>
    <w:rsid w:val="00C31F36"/>
    <w:rsid w:val="00C325D1"/>
    <w:rsid w:val="00C32AF1"/>
    <w:rsid w:val="00C32DC1"/>
    <w:rsid w:val="00C32EF6"/>
    <w:rsid w:val="00C33226"/>
    <w:rsid w:val="00C33319"/>
    <w:rsid w:val="00C3342D"/>
    <w:rsid w:val="00C337BD"/>
    <w:rsid w:val="00C338E8"/>
    <w:rsid w:val="00C33927"/>
    <w:rsid w:val="00C33964"/>
    <w:rsid w:val="00C33D38"/>
    <w:rsid w:val="00C33E75"/>
    <w:rsid w:val="00C345E8"/>
    <w:rsid w:val="00C34A0A"/>
    <w:rsid w:val="00C34A11"/>
    <w:rsid w:val="00C34A5D"/>
    <w:rsid w:val="00C34B15"/>
    <w:rsid w:val="00C34B7B"/>
    <w:rsid w:val="00C34C2F"/>
    <w:rsid w:val="00C35098"/>
    <w:rsid w:val="00C35315"/>
    <w:rsid w:val="00C354B6"/>
    <w:rsid w:val="00C3562E"/>
    <w:rsid w:val="00C35715"/>
    <w:rsid w:val="00C35C75"/>
    <w:rsid w:val="00C35EEC"/>
    <w:rsid w:val="00C35FB4"/>
    <w:rsid w:val="00C36015"/>
    <w:rsid w:val="00C36098"/>
    <w:rsid w:val="00C3616A"/>
    <w:rsid w:val="00C362AC"/>
    <w:rsid w:val="00C363A5"/>
    <w:rsid w:val="00C36515"/>
    <w:rsid w:val="00C3676E"/>
    <w:rsid w:val="00C36B83"/>
    <w:rsid w:val="00C36C1E"/>
    <w:rsid w:val="00C36C74"/>
    <w:rsid w:val="00C371AA"/>
    <w:rsid w:val="00C372B6"/>
    <w:rsid w:val="00C37349"/>
    <w:rsid w:val="00C3740E"/>
    <w:rsid w:val="00C3779F"/>
    <w:rsid w:val="00C37CFA"/>
    <w:rsid w:val="00C404FF"/>
    <w:rsid w:val="00C408E2"/>
    <w:rsid w:val="00C40942"/>
    <w:rsid w:val="00C40F87"/>
    <w:rsid w:val="00C41176"/>
    <w:rsid w:val="00C413BD"/>
    <w:rsid w:val="00C41453"/>
    <w:rsid w:val="00C41591"/>
    <w:rsid w:val="00C41A53"/>
    <w:rsid w:val="00C41AD1"/>
    <w:rsid w:val="00C41AF6"/>
    <w:rsid w:val="00C41C8E"/>
    <w:rsid w:val="00C41EA8"/>
    <w:rsid w:val="00C41FC1"/>
    <w:rsid w:val="00C422AF"/>
    <w:rsid w:val="00C42310"/>
    <w:rsid w:val="00C42848"/>
    <w:rsid w:val="00C429D3"/>
    <w:rsid w:val="00C42B19"/>
    <w:rsid w:val="00C42E28"/>
    <w:rsid w:val="00C431F2"/>
    <w:rsid w:val="00C43770"/>
    <w:rsid w:val="00C438CA"/>
    <w:rsid w:val="00C43A51"/>
    <w:rsid w:val="00C43A81"/>
    <w:rsid w:val="00C43AC7"/>
    <w:rsid w:val="00C44083"/>
    <w:rsid w:val="00C44090"/>
    <w:rsid w:val="00C44209"/>
    <w:rsid w:val="00C443D2"/>
    <w:rsid w:val="00C4440C"/>
    <w:rsid w:val="00C44696"/>
    <w:rsid w:val="00C4482D"/>
    <w:rsid w:val="00C449A4"/>
    <w:rsid w:val="00C44A1F"/>
    <w:rsid w:val="00C44B9D"/>
    <w:rsid w:val="00C44D4E"/>
    <w:rsid w:val="00C44D84"/>
    <w:rsid w:val="00C44E69"/>
    <w:rsid w:val="00C44F6C"/>
    <w:rsid w:val="00C4517E"/>
    <w:rsid w:val="00C453AA"/>
    <w:rsid w:val="00C455DC"/>
    <w:rsid w:val="00C45A26"/>
    <w:rsid w:val="00C45AD2"/>
    <w:rsid w:val="00C45B4C"/>
    <w:rsid w:val="00C45B5E"/>
    <w:rsid w:val="00C45D33"/>
    <w:rsid w:val="00C46301"/>
    <w:rsid w:val="00C463A4"/>
    <w:rsid w:val="00C46487"/>
    <w:rsid w:val="00C4652C"/>
    <w:rsid w:val="00C46678"/>
    <w:rsid w:val="00C4668A"/>
    <w:rsid w:val="00C46870"/>
    <w:rsid w:val="00C46992"/>
    <w:rsid w:val="00C4699E"/>
    <w:rsid w:val="00C46BDD"/>
    <w:rsid w:val="00C46BEA"/>
    <w:rsid w:val="00C46C79"/>
    <w:rsid w:val="00C46C9D"/>
    <w:rsid w:val="00C46D7B"/>
    <w:rsid w:val="00C46F62"/>
    <w:rsid w:val="00C46F94"/>
    <w:rsid w:val="00C470C3"/>
    <w:rsid w:val="00C471BC"/>
    <w:rsid w:val="00C47205"/>
    <w:rsid w:val="00C47C26"/>
    <w:rsid w:val="00C47E8F"/>
    <w:rsid w:val="00C5001F"/>
    <w:rsid w:val="00C50021"/>
    <w:rsid w:val="00C502A6"/>
    <w:rsid w:val="00C5047C"/>
    <w:rsid w:val="00C507FD"/>
    <w:rsid w:val="00C50946"/>
    <w:rsid w:val="00C50B9B"/>
    <w:rsid w:val="00C50D3C"/>
    <w:rsid w:val="00C50E5E"/>
    <w:rsid w:val="00C50EDE"/>
    <w:rsid w:val="00C51065"/>
    <w:rsid w:val="00C513B9"/>
    <w:rsid w:val="00C51582"/>
    <w:rsid w:val="00C515D7"/>
    <w:rsid w:val="00C518B6"/>
    <w:rsid w:val="00C51C6E"/>
    <w:rsid w:val="00C51C7B"/>
    <w:rsid w:val="00C523E0"/>
    <w:rsid w:val="00C52754"/>
    <w:rsid w:val="00C52D4D"/>
    <w:rsid w:val="00C52E24"/>
    <w:rsid w:val="00C52F8F"/>
    <w:rsid w:val="00C53187"/>
    <w:rsid w:val="00C53667"/>
    <w:rsid w:val="00C537B3"/>
    <w:rsid w:val="00C53C0E"/>
    <w:rsid w:val="00C53CBE"/>
    <w:rsid w:val="00C53D23"/>
    <w:rsid w:val="00C540EB"/>
    <w:rsid w:val="00C544DA"/>
    <w:rsid w:val="00C5455D"/>
    <w:rsid w:val="00C54A8E"/>
    <w:rsid w:val="00C54F31"/>
    <w:rsid w:val="00C54F61"/>
    <w:rsid w:val="00C554F3"/>
    <w:rsid w:val="00C55611"/>
    <w:rsid w:val="00C556F0"/>
    <w:rsid w:val="00C5597E"/>
    <w:rsid w:val="00C55990"/>
    <w:rsid w:val="00C55B36"/>
    <w:rsid w:val="00C55C91"/>
    <w:rsid w:val="00C55CB4"/>
    <w:rsid w:val="00C55FA1"/>
    <w:rsid w:val="00C56031"/>
    <w:rsid w:val="00C56490"/>
    <w:rsid w:val="00C566D8"/>
    <w:rsid w:val="00C5697C"/>
    <w:rsid w:val="00C569B9"/>
    <w:rsid w:val="00C56EA7"/>
    <w:rsid w:val="00C5730D"/>
    <w:rsid w:val="00C57422"/>
    <w:rsid w:val="00C5777A"/>
    <w:rsid w:val="00C57961"/>
    <w:rsid w:val="00C57A8B"/>
    <w:rsid w:val="00C57ADD"/>
    <w:rsid w:val="00C57E05"/>
    <w:rsid w:val="00C60209"/>
    <w:rsid w:val="00C60290"/>
    <w:rsid w:val="00C605A3"/>
    <w:rsid w:val="00C6065F"/>
    <w:rsid w:val="00C609E0"/>
    <w:rsid w:val="00C60DA6"/>
    <w:rsid w:val="00C611F3"/>
    <w:rsid w:val="00C61646"/>
    <w:rsid w:val="00C61800"/>
    <w:rsid w:val="00C61CFD"/>
    <w:rsid w:val="00C61CFF"/>
    <w:rsid w:val="00C61E94"/>
    <w:rsid w:val="00C62183"/>
    <w:rsid w:val="00C62228"/>
    <w:rsid w:val="00C62490"/>
    <w:rsid w:val="00C62702"/>
    <w:rsid w:val="00C62947"/>
    <w:rsid w:val="00C62B6B"/>
    <w:rsid w:val="00C62D62"/>
    <w:rsid w:val="00C63011"/>
    <w:rsid w:val="00C63141"/>
    <w:rsid w:val="00C6322A"/>
    <w:rsid w:val="00C63460"/>
    <w:rsid w:val="00C634BF"/>
    <w:rsid w:val="00C637CB"/>
    <w:rsid w:val="00C638AF"/>
    <w:rsid w:val="00C63C6F"/>
    <w:rsid w:val="00C63FE5"/>
    <w:rsid w:val="00C641C3"/>
    <w:rsid w:val="00C643DE"/>
    <w:rsid w:val="00C6454B"/>
    <w:rsid w:val="00C64624"/>
    <w:rsid w:val="00C64761"/>
    <w:rsid w:val="00C64A68"/>
    <w:rsid w:val="00C64B5D"/>
    <w:rsid w:val="00C6500E"/>
    <w:rsid w:val="00C65043"/>
    <w:rsid w:val="00C65281"/>
    <w:rsid w:val="00C6564A"/>
    <w:rsid w:val="00C656B5"/>
    <w:rsid w:val="00C65766"/>
    <w:rsid w:val="00C657F4"/>
    <w:rsid w:val="00C6594B"/>
    <w:rsid w:val="00C659FD"/>
    <w:rsid w:val="00C65A6D"/>
    <w:rsid w:val="00C65AE7"/>
    <w:rsid w:val="00C65B5F"/>
    <w:rsid w:val="00C65DC7"/>
    <w:rsid w:val="00C65F2D"/>
    <w:rsid w:val="00C65FA1"/>
    <w:rsid w:val="00C66000"/>
    <w:rsid w:val="00C66034"/>
    <w:rsid w:val="00C66965"/>
    <w:rsid w:val="00C66FFE"/>
    <w:rsid w:val="00C67114"/>
    <w:rsid w:val="00C673F3"/>
    <w:rsid w:val="00C67936"/>
    <w:rsid w:val="00C70170"/>
    <w:rsid w:val="00C70220"/>
    <w:rsid w:val="00C704C2"/>
    <w:rsid w:val="00C70576"/>
    <w:rsid w:val="00C7057D"/>
    <w:rsid w:val="00C70880"/>
    <w:rsid w:val="00C70FC3"/>
    <w:rsid w:val="00C7105C"/>
    <w:rsid w:val="00C71429"/>
    <w:rsid w:val="00C71610"/>
    <w:rsid w:val="00C718B8"/>
    <w:rsid w:val="00C71903"/>
    <w:rsid w:val="00C72009"/>
    <w:rsid w:val="00C720AC"/>
    <w:rsid w:val="00C7217B"/>
    <w:rsid w:val="00C7268C"/>
    <w:rsid w:val="00C728CE"/>
    <w:rsid w:val="00C72C49"/>
    <w:rsid w:val="00C72EED"/>
    <w:rsid w:val="00C731B8"/>
    <w:rsid w:val="00C733C9"/>
    <w:rsid w:val="00C7343C"/>
    <w:rsid w:val="00C73749"/>
    <w:rsid w:val="00C73782"/>
    <w:rsid w:val="00C737FE"/>
    <w:rsid w:val="00C73B14"/>
    <w:rsid w:val="00C73BAD"/>
    <w:rsid w:val="00C73BCE"/>
    <w:rsid w:val="00C73DCA"/>
    <w:rsid w:val="00C73F41"/>
    <w:rsid w:val="00C74074"/>
    <w:rsid w:val="00C740C1"/>
    <w:rsid w:val="00C74460"/>
    <w:rsid w:val="00C7492E"/>
    <w:rsid w:val="00C74CDA"/>
    <w:rsid w:val="00C752DA"/>
    <w:rsid w:val="00C754AB"/>
    <w:rsid w:val="00C7586F"/>
    <w:rsid w:val="00C75CC2"/>
    <w:rsid w:val="00C763F4"/>
    <w:rsid w:val="00C765E6"/>
    <w:rsid w:val="00C76665"/>
    <w:rsid w:val="00C767F5"/>
    <w:rsid w:val="00C7689F"/>
    <w:rsid w:val="00C769CA"/>
    <w:rsid w:val="00C7771C"/>
    <w:rsid w:val="00C77805"/>
    <w:rsid w:val="00C77823"/>
    <w:rsid w:val="00C778CB"/>
    <w:rsid w:val="00C779AA"/>
    <w:rsid w:val="00C77A2A"/>
    <w:rsid w:val="00C80082"/>
    <w:rsid w:val="00C80091"/>
    <w:rsid w:val="00C80287"/>
    <w:rsid w:val="00C80302"/>
    <w:rsid w:val="00C803CB"/>
    <w:rsid w:val="00C803F0"/>
    <w:rsid w:val="00C80596"/>
    <w:rsid w:val="00C80940"/>
    <w:rsid w:val="00C809DC"/>
    <w:rsid w:val="00C80AC3"/>
    <w:rsid w:val="00C80DF5"/>
    <w:rsid w:val="00C80F3F"/>
    <w:rsid w:val="00C810D6"/>
    <w:rsid w:val="00C811C9"/>
    <w:rsid w:val="00C81574"/>
    <w:rsid w:val="00C815A9"/>
    <w:rsid w:val="00C82004"/>
    <w:rsid w:val="00C82136"/>
    <w:rsid w:val="00C8222A"/>
    <w:rsid w:val="00C8278C"/>
    <w:rsid w:val="00C82C6C"/>
    <w:rsid w:val="00C832A5"/>
    <w:rsid w:val="00C832F0"/>
    <w:rsid w:val="00C833FB"/>
    <w:rsid w:val="00C839D4"/>
    <w:rsid w:val="00C83EA7"/>
    <w:rsid w:val="00C83EBA"/>
    <w:rsid w:val="00C83FF2"/>
    <w:rsid w:val="00C8408F"/>
    <w:rsid w:val="00C840C8"/>
    <w:rsid w:val="00C8444A"/>
    <w:rsid w:val="00C845D7"/>
    <w:rsid w:val="00C84722"/>
    <w:rsid w:val="00C84877"/>
    <w:rsid w:val="00C848FF"/>
    <w:rsid w:val="00C84BC0"/>
    <w:rsid w:val="00C84CB8"/>
    <w:rsid w:val="00C84EAE"/>
    <w:rsid w:val="00C84EE6"/>
    <w:rsid w:val="00C8521E"/>
    <w:rsid w:val="00C85444"/>
    <w:rsid w:val="00C8560E"/>
    <w:rsid w:val="00C856C9"/>
    <w:rsid w:val="00C85708"/>
    <w:rsid w:val="00C85AE4"/>
    <w:rsid w:val="00C85C2E"/>
    <w:rsid w:val="00C85CDB"/>
    <w:rsid w:val="00C85E56"/>
    <w:rsid w:val="00C86072"/>
    <w:rsid w:val="00C86096"/>
    <w:rsid w:val="00C86130"/>
    <w:rsid w:val="00C86393"/>
    <w:rsid w:val="00C8646B"/>
    <w:rsid w:val="00C8659F"/>
    <w:rsid w:val="00C865F8"/>
    <w:rsid w:val="00C867E7"/>
    <w:rsid w:val="00C86A06"/>
    <w:rsid w:val="00C86D49"/>
    <w:rsid w:val="00C87028"/>
    <w:rsid w:val="00C87052"/>
    <w:rsid w:val="00C87386"/>
    <w:rsid w:val="00C87649"/>
    <w:rsid w:val="00C877C2"/>
    <w:rsid w:val="00C87834"/>
    <w:rsid w:val="00C87A31"/>
    <w:rsid w:val="00C87D32"/>
    <w:rsid w:val="00C90490"/>
    <w:rsid w:val="00C904EF"/>
    <w:rsid w:val="00C9069C"/>
    <w:rsid w:val="00C9086B"/>
    <w:rsid w:val="00C90988"/>
    <w:rsid w:val="00C90AD7"/>
    <w:rsid w:val="00C911B3"/>
    <w:rsid w:val="00C911B9"/>
    <w:rsid w:val="00C9127D"/>
    <w:rsid w:val="00C915B3"/>
    <w:rsid w:val="00C91816"/>
    <w:rsid w:val="00C91B0F"/>
    <w:rsid w:val="00C91CF9"/>
    <w:rsid w:val="00C91DF6"/>
    <w:rsid w:val="00C9203C"/>
    <w:rsid w:val="00C92267"/>
    <w:rsid w:val="00C92463"/>
    <w:rsid w:val="00C924D0"/>
    <w:rsid w:val="00C92653"/>
    <w:rsid w:val="00C926DB"/>
    <w:rsid w:val="00C92793"/>
    <w:rsid w:val="00C92A3D"/>
    <w:rsid w:val="00C92BFC"/>
    <w:rsid w:val="00C92D4D"/>
    <w:rsid w:val="00C92E56"/>
    <w:rsid w:val="00C93407"/>
    <w:rsid w:val="00C93D44"/>
    <w:rsid w:val="00C940C7"/>
    <w:rsid w:val="00C94137"/>
    <w:rsid w:val="00C943AD"/>
    <w:rsid w:val="00C944DF"/>
    <w:rsid w:val="00C94926"/>
    <w:rsid w:val="00C94A4B"/>
    <w:rsid w:val="00C94D9C"/>
    <w:rsid w:val="00C952E7"/>
    <w:rsid w:val="00C954C0"/>
    <w:rsid w:val="00C954EF"/>
    <w:rsid w:val="00C956BC"/>
    <w:rsid w:val="00C9573D"/>
    <w:rsid w:val="00C958C4"/>
    <w:rsid w:val="00C958DB"/>
    <w:rsid w:val="00C95916"/>
    <w:rsid w:val="00C95BDB"/>
    <w:rsid w:val="00C95D2B"/>
    <w:rsid w:val="00C95D68"/>
    <w:rsid w:val="00C95DCB"/>
    <w:rsid w:val="00C95FBC"/>
    <w:rsid w:val="00C95FD7"/>
    <w:rsid w:val="00C961E9"/>
    <w:rsid w:val="00C96404"/>
    <w:rsid w:val="00C96497"/>
    <w:rsid w:val="00C964CC"/>
    <w:rsid w:val="00C96709"/>
    <w:rsid w:val="00C96A25"/>
    <w:rsid w:val="00C96C67"/>
    <w:rsid w:val="00C96E95"/>
    <w:rsid w:val="00C96F49"/>
    <w:rsid w:val="00C96F92"/>
    <w:rsid w:val="00C96FAC"/>
    <w:rsid w:val="00C9715A"/>
    <w:rsid w:val="00C979BA"/>
    <w:rsid w:val="00C97A8A"/>
    <w:rsid w:val="00C97DD2"/>
    <w:rsid w:val="00C97ED8"/>
    <w:rsid w:val="00CA0089"/>
    <w:rsid w:val="00CA024F"/>
    <w:rsid w:val="00CA0710"/>
    <w:rsid w:val="00CA0829"/>
    <w:rsid w:val="00CA0931"/>
    <w:rsid w:val="00CA0BA7"/>
    <w:rsid w:val="00CA0D72"/>
    <w:rsid w:val="00CA0F23"/>
    <w:rsid w:val="00CA10F5"/>
    <w:rsid w:val="00CA14E5"/>
    <w:rsid w:val="00CA151B"/>
    <w:rsid w:val="00CA1661"/>
    <w:rsid w:val="00CA198B"/>
    <w:rsid w:val="00CA1B8E"/>
    <w:rsid w:val="00CA21F1"/>
    <w:rsid w:val="00CA22D4"/>
    <w:rsid w:val="00CA24B9"/>
    <w:rsid w:val="00CA26C0"/>
    <w:rsid w:val="00CA277A"/>
    <w:rsid w:val="00CA29B5"/>
    <w:rsid w:val="00CA2B81"/>
    <w:rsid w:val="00CA2D2F"/>
    <w:rsid w:val="00CA2D48"/>
    <w:rsid w:val="00CA3540"/>
    <w:rsid w:val="00CA3AE0"/>
    <w:rsid w:val="00CA3C04"/>
    <w:rsid w:val="00CA3C76"/>
    <w:rsid w:val="00CA4308"/>
    <w:rsid w:val="00CA43B9"/>
    <w:rsid w:val="00CA4718"/>
    <w:rsid w:val="00CA4797"/>
    <w:rsid w:val="00CA4823"/>
    <w:rsid w:val="00CA4889"/>
    <w:rsid w:val="00CA4BD5"/>
    <w:rsid w:val="00CA4BF5"/>
    <w:rsid w:val="00CA5058"/>
    <w:rsid w:val="00CA5780"/>
    <w:rsid w:val="00CA5B31"/>
    <w:rsid w:val="00CA5BC9"/>
    <w:rsid w:val="00CA5E75"/>
    <w:rsid w:val="00CA5E91"/>
    <w:rsid w:val="00CA5F0C"/>
    <w:rsid w:val="00CA61A5"/>
    <w:rsid w:val="00CA652D"/>
    <w:rsid w:val="00CA68ED"/>
    <w:rsid w:val="00CA6902"/>
    <w:rsid w:val="00CA6C30"/>
    <w:rsid w:val="00CA6EC9"/>
    <w:rsid w:val="00CA6FE9"/>
    <w:rsid w:val="00CA718C"/>
    <w:rsid w:val="00CA72D9"/>
    <w:rsid w:val="00CA735D"/>
    <w:rsid w:val="00CA76CA"/>
    <w:rsid w:val="00CA7822"/>
    <w:rsid w:val="00CA78BC"/>
    <w:rsid w:val="00CA7ACB"/>
    <w:rsid w:val="00CA7C8B"/>
    <w:rsid w:val="00CA7EFA"/>
    <w:rsid w:val="00CB0081"/>
    <w:rsid w:val="00CB00B6"/>
    <w:rsid w:val="00CB00F1"/>
    <w:rsid w:val="00CB080E"/>
    <w:rsid w:val="00CB09EF"/>
    <w:rsid w:val="00CB0C57"/>
    <w:rsid w:val="00CB0C95"/>
    <w:rsid w:val="00CB0CE0"/>
    <w:rsid w:val="00CB1072"/>
    <w:rsid w:val="00CB12AA"/>
    <w:rsid w:val="00CB1846"/>
    <w:rsid w:val="00CB1B3B"/>
    <w:rsid w:val="00CB1B54"/>
    <w:rsid w:val="00CB1E2C"/>
    <w:rsid w:val="00CB1FC1"/>
    <w:rsid w:val="00CB22FE"/>
    <w:rsid w:val="00CB2454"/>
    <w:rsid w:val="00CB247A"/>
    <w:rsid w:val="00CB260A"/>
    <w:rsid w:val="00CB2682"/>
    <w:rsid w:val="00CB26D0"/>
    <w:rsid w:val="00CB2BAC"/>
    <w:rsid w:val="00CB2C3D"/>
    <w:rsid w:val="00CB2D8C"/>
    <w:rsid w:val="00CB2F97"/>
    <w:rsid w:val="00CB3074"/>
    <w:rsid w:val="00CB3152"/>
    <w:rsid w:val="00CB31A0"/>
    <w:rsid w:val="00CB31FD"/>
    <w:rsid w:val="00CB3CC1"/>
    <w:rsid w:val="00CB403B"/>
    <w:rsid w:val="00CB4236"/>
    <w:rsid w:val="00CB4939"/>
    <w:rsid w:val="00CB4C16"/>
    <w:rsid w:val="00CB4D4B"/>
    <w:rsid w:val="00CB4DB7"/>
    <w:rsid w:val="00CB4E23"/>
    <w:rsid w:val="00CB50D8"/>
    <w:rsid w:val="00CB5151"/>
    <w:rsid w:val="00CB537D"/>
    <w:rsid w:val="00CB5A8E"/>
    <w:rsid w:val="00CB5D79"/>
    <w:rsid w:val="00CB626F"/>
    <w:rsid w:val="00CB62ED"/>
    <w:rsid w:val="00CB64EB"/>
    <w:rsid w:val="00CB650B"/>
    <w:rsid w:val="00CB65FB"/>
    <w:rsid w:val="00CB67A0"/>
    <w:rsid w:val="00CB6856"/>
    <w:rsid w:val="00CB6E01"/>
    <w:rsid w:val="00CB6F4C"/>
    <w:rsid w:val="00CB750D"/>
    <w:rsid w:val="00CB7552"/>
    <w:rsid w:val="00CB7654"/>
    <w:rsid w:val="00CB7832"/>
    <w:rsid w:val="00CB793E"/>
    <w:rsid w:val="00CB79A9"/>
    <w:rsid w:val="00CB79D0"/>
    <w:rsid w:val="00CC014F"/>
    <w:rsid w:val="00CC02ED"/>
    <w:rsid w:val="00CC052C"/>
    <w:rsid w:val="00CC082C"/>
    <w:rsid w:val="00CC0839"/>
    <w:rsid w:val="00CC0967"/>
    <w:rsid w:val="00CC0D20"/>
    <w:rsid w:val="00CC0E40"/>
    <w:rsid w:val="00CC10E6"/>
    <w:rsid w:val="00CC13E1"/>
    <w:rsid w:val="00CC152A"/>
    <w:rsid w:val="00CC1606"/>
    <w:rsid w:val="00CC1636"/>
    <w:rsid w:val="00CC19E4"/>
    <w:rsid w:val="00CC1E99"/>
    <w:rsid w:val="00CC1F3C"/>
    <w:rsid w:val="00CC1FBE"/>
    <w:rsid w:val="00CC1FD6"/>
    <w:rsid w:val="00CC2334"/>
    <w:rsid w:val="00CC2911"/>
    <w:rsid w:val="00CC2A18"/>
    <w:rsid w:val="00CC2A8F"/>
    <w:rsid w:val="00CC2AC8"/>
    <w:rsid w:val="00CC2D4F"/>
    <w:rsid w:val="00CC3074"/>
    <w:rsid w:val="00CC3643"/>
    <w:rsid w:val="00CC38E4"/>
    <w:rsid w:val="00CC3C28"/>
    <w:rsid w:val="00CC3F61"/>
    <w:rsid w:val="00CC409E"/>
    <w:rsid w:val="00CC40C9"/>
    <w:rsid w:val="00CC4132"/>
    <w:rsid w:val="00CC41F3"/>
    <w:rsid w:val="00CC4303"/>
    <w:rsid w:val="00CC4423"/>
    <w:rsid w:val="00CC4535"/>
    <w:rsid w:val="00CC46B9"/>
    <w:rsid w:val="00CC47D1"/>
    <w:rsid w:val="00CC4AA9"/>
    <w:rsid w:val="00CC4B74"/>
    <w:rsid w:val="00CC558B"/>
    <w:rsid w:val="00CC559B"/>
    <w:rsid w:val="00CC5A07"/>
    <w:rsid w:val="00CC5D44"/>
    <w:rsid w:val="00CC5D4F"/>
    <w:rsid w:val="00CC5E04"/>
    <w:rsid w:val="00CC5EE5"/>
    <w:rsid w:val="00CC6295"/>
    <w:rsid w:val="00CC635A"/>
    <w:rsid w:val="00CC63AA"/>
    <w:rsid w:val="00CC6711"/>
    <w:rsid w:val="00CC67A6"/>
    <w:rsid w:val="00CC67CF"/>
    <w:rsid w:val="00CC693C"/>
    <w:rsid w:val="00CC69C0"/>
    <w:rsid w:val="00CC6A2C"/>
    <w:rsid w:val="00CC6A41"/>
    <w:rsid w:val="00CC6B72"/>
    <w:rsid w:val="00CC6E83"/>
    <w:rsid w:val="00CC6EDF"/>
    <w:rsid w:val="00CC7338"/>
    <w:rsid w:val="00CC7727"/>
    <w:rsid w:val="00CC7895"/>
    <w:rsid w:val="00CC7CDC"/>
    <w:rsid w:val="00CC7F7A"/>
    <w:rsid w:val="00CC7FB4"/>
    <w:rsid w:val="00CD0457"/>
    <w:rsid w:val="00CD051C"/>
    <w:rsid w:val="00CD05EC"/>
    <w:rsid w:val="00CD06AA"/>
    <w:rsid w:val="00CD090F"/>
    <w:rsid w:val="00CD0948"/>
    <w:rsid w:val="00CD0AE7"/>
    <w:rsid w:val="00CD0BD2"/>
    <w:rsid w:val="00CD0F8F"/>
    <w:rsid w:val="00CD1B29"/>
    <w:rsid w:val="00CD1CD7"/>
    <w:rsid w:val="00CD1DA1"/>
    <w:rsid w:val="00CD2046"/>
    <w:rsid w:val="00CD2448"/>
    <w:rsid w:val="00CD2513"/>
    <w:rsid w:val="00CD263F"/>
    <w:rsid w:val="00CD2EFD"/>
    <w:rsid w:val="00CD3024"/>
    <w:rsid w:val="00CD306E"/>
    <w:rsid w:val="00CD30E0"/>
    <w:rsid w:val="00CD316D"/>
    <w:rsid w:val="00CD32B2"/>
    <w:rsid w:val="00CD3464"/>
    <w:rsid w:val="00CD3470"/>
    <w:rsid w:val="00CD3767"/>
    <w:rsid w:val="00CD37EB"/>
    <w:rsid w:val="00CD3B8A"/>
    <w:rsid w:val="00CD4199"/>
    <w:rsid w:val="00CD44D9"/>
    <w:rsid w:val="00CD4629"/>
    <w:rsid w:val="00CD47F2"/>
    <w:rsid w:val="00CD4D2D"/>
    <w:rsid w:val="00CD4F6C"/>
    <w:rsid w:val="00CD56F7"/>
    <w:rsid w:val="00CD5A29"/>
    <w:rsid w:val="00CD5AD4"/>
    <w:rsid w:val="00CD5C4A"/>
    <w:rsid w:val="00CD5CC7"/>
    <w:rsid w:val="00CD5E3F"/>
    <w:rsid w:val="00CD641E"/>
    <w:rsid w:val="00CD65B3"/>
    <w:rsid w:val="00CD67FC"/>
    <w:rsid w:val="00CD68BA"/>
    <w:rsid w:val="00CD68F0"/>
    <w:rsid w:val="00CD6963"/>
    <w:rsid w:val="00CD699F"/>
    <w:rsid w:val="00CD6AB5"/>
    <w:rsid w:val="00CD6BA4"/>
    <w:rsid w:val="00CD6CCA"/>
    <w:rsid w:val="00CD6FFB"/>
    <w:rsid w:val="00CD7083"/>
    <w:rsid w:val="00CD7086"/>
    <w:rsid w:val="00CD7128"/>
    <w:rsid w:val="00CD7339"/>
    <w:rsid w:val="00CD74AC"/>
    <w:rsid w:val="00CD7CB6"/>
    <w:rsid w:val="00CD7E38"/>
    <w:rsid w:val="00CD7EF5"/>
    <w:rsid w:val="00CD7F4C"/>
    <w:rsid w:val="00CD7F60"/>
    <w:rsid w:val="00CE0109"/>
    <w:rsid w:val="00CE034D"/>
    <w:rsid w:val="00CE0970"/>
    <w:rsid w:val="00CE09D4"/>
    <w:rsid w:val="00CE0AD0"/>
    <w:rsid w:val="00CE0B36"/>
    <w:rsid w:val="00CE1669"/>
    <w:rsid w:val="00CE1688"/>
    <w:rsid w:val="00CE17B2"/>
    <w:rsid w:val="00CE18C0"/>
    <w:rsid w:val="00CE1B73"/>
    <w:rsid w:val="00CE1CA6"/>
    <w:rsid w:val="00CE1EEB"/>
    <w:rsid w:val="00CE2072"/>
    <w:rsid w:val="00CE2BD0"/>
    <w:rsid w:val="00CE2E35"/>
    <w:rsid w:val="00CE2E69"/>
    <w:rsid w:val="00CE2F9F"/>
    <w:rsid w:val="00CE32C3"/>
    <w:rsid w:val="00CE3842"/>
    <w:rsid w:val="00CE3D18"/>
    <w:rsid w:val="00CE426F"/>
    <w:rsid w:val="00CE4642"/>
    <w:rsid w:val="00CE4739"/>
    <w:rsid w:val="00CE489A"/>
    <w:rsid w:val="00CE495C"/>
    <w:rsid w:val="00CE4E00"/>
    <w:rsid w:val="00CE4E43"/>
    <w:rsid w:val="00CE4E60"/>
    <w:rsid w:val="00CE5DF4"/>
    <w:rsid w:val="00CE5EF7"/>
    <w:rsid w:val="00CE60E2"/>
    <w:rsid w:val="00CE61C8"/>
    <w:rsid w:val="00CE62CA"/>
    <w:rsid w:val="00CE6428"/>
    <w:rsid w:val="00CE6882"/>
    <w:rsid w:val="00CE694D"/>
    <w:rsid w:val="00CE6A7A"/>
    <w:rsid w:val="00CE6B80"/>
    <w:rsid w:val="00CE6C20"/>
    <w:rsid w:val="00CE6CDD"/>
    <w:rsid w:val="00CE6D92"/>
    <w:rsid w:val="00CE6E83"/>
    <w:rsid w:val="00CE6FB9"/>
    <w:rsid w:val="00CE7177"/>
    <w:rsid w:val="00CE7779"/>
    <w:rsid w:val="00CE786A"/>
    <w:rsid w:val="00CE78AA"/>
    <w:rsid w:val="00CE7AB1"/>
    <w:rsid w:val="00CE7AF1"/>
    <w:rsid w:val="00CE7B53"/>
    <w:rsid w:val="00CE7C00"/>
    <w:rsid w:val="00CE7C78"/>
    <w:rsid w:val="00CE7E2C"/>
    <w:rsid w:val="00CE7F2E"/>
    <w:rsid w:val="00CE7FB4"/>
    <w:rsid w:val="00CF019B"/>
    <w:rsid w:val="00CF06EC"/>
    <w:rsid w:val="00CF09BE"/>
    <w:rsid w:val="00CF0AB9"/>
    <w:rsid w:val="00CF0F66"/>
    <w:rsid w:val="00CF0FEE"/>
    <w:rsid w:val="00CF1024"/>
    <w:rsid w:val="00CF11A9"/>
    <w:rsid w:val="00CF13A5"/>
    <w:rsid w:val="00CF15DC"/>
    <w:rsid w:val="00CF168E"/>
    <w:rsid w:val="00CF1694"/>
    <w:rsid w:val="00CF18DE"/>
    <w:rsid w:val="00CF19CC"/>
    <w:rsid w:val="00CF1B32"/>
    <w:rsid w:val="00CF1CBF"/>
    <w:rsid w:val="00CF2847"/>
    <w:rsid w:val="00CF29DA"/>
    <w:rsid w:val="00CF2A93"/>
    <w:rsid w:val="00CF2AAD"/>
    <w:rsid w:val="00CF2D77"/>
    <w:rsid w:val="00CF2D8E"/>
    <w:rsid w:val="00CF30FF"/>
    <w:rsid w:val="00CF3472"/>
    <w:rsid w:val="00CF3576"/>
    <w:rsid w:val="00CF3607"/>
    <w:rsid w:val="00CF391B"/>
    <w:rsid w:val="00CF3DC4"/>
    <w:rsid w:val="00CF3EA4"/>
    <w:rsid w:val="00CF3F5B"/>
    <w:rsid w:val="00CF3FA0"/>
    <w:rsid w:val="00CF41EC"/>
    <w:rsid w:val="00CF4360"/>
    <w:rsid w:val="00CF49C4"/>
    <w:rsid w:val="00CF4FDE"/>
    <w:rsid w:val="00CF541C"/>
    <w:rsid w:val="00CF573C"/>
    <w:rsid w:val="00CF5758"/>
    <w:rsid w:val="00CF59A0"/>
    <w:rsid w:val="00CF5A14"/>
    <w:rsid w:val="00CF5A72"/>
    <w:rsid w:val="00CF5B34"/>
    <w:rsid w:val="00CF5CD9"/>
    <w:rsid w:val="00CF5CDF"/>
    <w:rsid w:val="00CF65E0"/>
    <w:rsid w:val="00CF6762"/>
    <w:rsid w:val="00CF6D19"/>
    <w:rsid w:val="00CF6D9F"/>
    <w:rsid w:val="00CF6DC7"/>
    <w:rsid w:val="00CF7024"/>
    <w:rsid w:val="00CF70B1"/>
    <w:rsid w:val="00CF7AE4"/>
    <w:rsid w:val="00CF7BFB"/>
    <w:rsid w:val="00CF7FDD"/>
    <w:rsid w:val="00D000C1"/>
    <w:rsid w:val="00D00254"/>
    <w:rsid w:val="00D003F7"/>
    <w:rsid w:val="00D00404"/>
    <w:rsid w:val="00D0044A"/>
    <w:rsid w:val="00D005E1"/>
    <w:rsid w:val="00D007DD"/>
    <w:rsid w:val="00D008AD"/>
    <w:rsid w:val="00D00A04"/>
    <w:rsid w:val="00D00B4B"/>
    <w:rsid w:val="00D00BA2"/>
    <w:rsid w:val="00D00BD0"/>
    <w:rsid w:val="00D00D68"/>
    <w:rsid w:val="00D00E81"/>
    <w:rsid w:val="00D0124A"/>
    <w:rsid w:val="00D0161B"/>
    <w:rsid w:val="00D01832"/>
    <w:rsid w:val="00D01A4C"/>
    <w:rsid w:val="00D02157"/>
    <w:rsid w:val="00D02332"/>
    <w:rsid w:val="00D02342"/>
    <w:rsid w:val="00D02C15"/>
    <w:rsid w:val="00D032A0"/>
    <w:rsid w:val="00D032D3"/>
    <w:rsid w:val="00D03603"/>
    <w:rsid w:val="00D03A31"/>
    <w:rsid w:val="00D03A7C"/>
    <w:rsid w:val="00D03BDE"/>
    <w:rsid w:val="00D03FEB"/>
    <w:rsid w:val="00D041DF"/>
    <w:rsid w:val="00D042B5"/>
    <w:rsid w:val="00D043D5"/>
    <w:rsid w:val="00D0479E"/>
    <w:rsid w:val="00D0493F"/>
    <w:rsid w:val="00D049FF"/>
    <w:rsid w:val="00D04A87"/>
    <w:rsid w:val="00D04AC5"/>
    <w:rsid w:val="00D04D41"/>
    <w:rsid w:val="00D050BD"/>
    <w:rsid w:val="00D0516E"/>
    <w:rsid w:val="00D056B5"/>
    <w:rsid w:val="00D0576D"/>
    <w:rsid w:val="00D0588D"/>
    <w:rsid w:val="00D05A9F"/>
    <w:rsid w:val="00D05ADD"/>
    <w:rsid w:val="00D05BD9"/>
    <w:rsid w:val="00D05BE2"/>
    <w:rsid w:val="00D05E4F"/>
    <w:rsid w:val="00D05EDD"/>
    <w:rsid w:val="00D061BF"/>
    <w:rsid w:val="00D063C4"/>
    <w:rsid w:val="00D071D9"/>
    <w:rsid w:val="00D079F9"/>
    <w:rsid w:val="00D07A02"/>
    <w:rsid w:val="00D07B95"/>
    <w:rsid w:val="00D10016"/>
    <w:rsid w:val="00D1008E"/>
    <w:rsid w:val="00D10278"/>
    <w:rsid w:val="00D10B41"/>
    <w:rsid w:val="00D10BFE"/>
    <w:rsid w:val="00D110E5"/>
    <w:rsid w:val="00D111E5"/>
    <w:rsid w:val="00D1131D"/>
    <w:rsid w:val="00D1176C"/>
    <w:rsid w:val="00D118BD"/>
    <w:rsid w:val="00D11CF2"/>
    <w:rsid w:val="00D11DC7"/>
    <w:rsid w:val="00D11E43"/>
    <w:rsid w:val="00D120BE"/>
    <w:rsid w:val="00D12105"/>
    <w:rsid w:val="00D12320"/>
    <w:rsid w:val="00D127C6"/>
    <w:rsid w:val="00D1291A"/>
    <w:rsid w:val="00D12D1A"/>
    <w:rsid w:val="00D12E9B"/>
    <w:rsid w:val="00D12EFC"/>
    <w:rsid w:val="00D12F50"/>
    <w:rsid w:val="00D13280"/>
    <w:rsid w:val="00D132ED"/>
    <w:rsid w:val="00D1342E"/>
    <w:rsid w:val="00D13AE6"/>
    <w:rsid w:val="00D13C34"/>
    <w:rsid w:val="00D14209"/>
    <w:rsid w:val="00D1431D"/>
    <w:rsid w:val="00D1432D"/>
    <w:rsid w:val="00D144D6"/>
    <w:rsid w:val="00D14703"/>
    <w:rsid w:val="00D148D6"/>
    <w:rsid w:val="00D14A4C"/>
    <w:rsid w:val="00D14B2D"/>
    <w:rsid w:val="00D14D65"/>
    <w:rsid w:val="00D1506C"/>
    <w:rsid w:val="00D153A0"/>
    <w:rsid w:val="00D15725"/>
    <w:rsid w:val="00D1572D"/>
    <w:rsid w:val="00D159FA"/>
    <w:rsid w:val="00D15DAC"/>
    <w:rsid w:val="00D15E34"/>
    <w:rsid w:val="00D15F61"/>
    <w:rsid w:val="00D15F9D"/>
    <w:rsid w:val="00D16763"/>
    <w:rsid w:val="00D167F0"/>
    <w:rsid w:val="00D167FF"/>
    <w:rsid w:val="00D168A4"/>
    <w:rsid w:val="00D169AC"/>
    <w:rsid w:val="00D16A7E"/>
    <w:rsid w:val="00D16BA7"/>
    <w:rsid w:val="00D16C44"/>
    <w:rsid w:val="00D16D7F"/>
    <w:rsid w:val="00D16FD1"/>
    <w:rsid w:val="00D17040"/>
    <w:rsid w:val="00D1792C"/>
    <w:rsid w:val="00D17A62"/>
    <w:rsid w:val="00D17ABB"/>
    <w:rsid w:val="00D17F3A"/>
    <w:rsid w:val="00D17F8B"/>
    <w:rsid w:val="00D20D4B"/>
    <w:rsid w:val="00D20DA5"/>
    <w:rsid w:val="00D20F56"/>
    <w:rsid w:val="00D21109"/>
    <w:rsid w:val="00D2113D"/>
    <w:rsid w:val="00D21884"/>
    <w:rsid w:val="00D218F2"/>
    <w:rsid w:val="00D21B7F"/>
    <w:rsid w:val="00D226EC"/>
    <w:rsid w:val="00D228C8"/>
    <w:rsid w:val="00D22C85"/>
    <w:rsid w:val="00D22E8E"/>
    <w:rsid w:val="00D22EFC"/>
    <w:rsid w:val="00D22F52"/>
    <w:rsid w:val="00D230D7"/>
    <w:rsid w:val="00D234D8"/>
    <w:rsid w:val="00D23902"/>
    <w:rsid w:val="00D23A4F"/>
    <w:rsid w:val="00D23ADD"/>
    <w:rsid w:val="00D23D20"/>
    <w:rsid w:val="00D243B4"/>
    <w:rsid w:val="00D24510"/>
    <w:rsid w:val="00D246FC"/>
    <w:rsid w:val="00D24707"/>
    <w:rsid w:val="00D24849"/>
    <w:rsid w:val="00D24C98"/>
    <w:rsid w:val="00D24CFF"/>
    <w:rsid w:val="00D2509D"/>
    <w:rsid w:val="00D25161"/>
    <w:rsid w:val="00D25163"/>
    <w:rsid w:val="00D25389"/>
    <w:rsid w:val="00D25437"/>
    <w:rsid w:val="00D254F8"/>
    <w:rsid w:val="00D255E9"/>
    <w:rsid w:val="00D255F4"/>
    <w:rsid w:val="00D25AA2"/>
    <w:rsid w:val="00D2604B"/>
    <w:rsid w:val="00D2643B"/>
    <w:rsid w:val="00D26A9B"/>
    <w:rsid w:val="00D27164"/>
    <w:rsid w:val="00D2718C"/>
    <w:rsid w:val="00D27F13"/>
    <w:rsid w:val="00D302D2"/>
    <w:rsid w:val="00D303E5"/>
    <w:rsid w:val="00D30566"/>
    <w:rsid w:val="00D307BD"/>
    <w:rsid w:val="00D30CA1"/>
    <w:rsid w:val="00D311EC"/>
    <w:rsid w:val="00D313F5"/>
    <w:rsid w:val="00D316D3"/>
    <w:rsid w:val="00D31746"/>
    <w:rsid w:val="00D318D0"/>
    <w:rsid w:val="00D31BB0"/>
    <w:rsid w:val="00D31E64"/>
    <w:rsid w:val="00D326C8"/>
    <w:rsid w:val="00D32868"/>
    <w:rsid w:val="00D32C04"/>
    <w:rsid w:val="00D32D13"/>
    <w:rsid w:val="00D32ECB"/>
    <w:rsid w:val="00D333AC"/>
    <w:rsid w:val="00D336B6"/>
    <w:rsid w:val="00D336C2"/>
    <w:rsid w:val="00D33933"/>
    <w:rsid w:val="00D33AA1"/>
    <w:rsid w:val="00D33B29"/>
    <w:rsid w:val="00D34129"/>
    <w:rsid w:val="00D34162"/>
    <w:rsid w:val="00D34781"/>
    <w:rsid w:val="00D351BA"/>
    <w:rsid w:val="00D354EF"/>
    <w:rsid w:val="00D356F4"/>
    <w:rsid w:val="00D358A7"/>
    <w:rsid w:val="00D358B1"/>
    <w:rsid w:val="00D3592B"/>
    <w:rsid w:val="00D35C31"/>
    <w:rsid w:val="00D36060"/>
    <w:rsid w:val="00D36173"/>
    <w:rsid w:val="00D36262"/>
    <w:rsid w:val="00D36573"/>
    <w:rsid w:val="00D365D0"/>
    <w:rsid w:val="00D36916"/>
    <w:rsid w:val="00D36A6C"/>
    <w:rsid w:val="00D36BFF"/>
    <w:rsid w:val="00D36C49"/>
    <w:rsid w:val="00D36E4E"/>
    <w:rsid w:val="00D371CF"/>
    <w:rsid w:val="00D37900"/>
    <w:rsid w:val="00D37933"/>
    <w:rsid w:val="00D37965"/>
    <w:rsid w:val="00D37B59"/>
    <w:rsid w:val="00D37FC2"/>
    <w:rsid w:val="00D400B5"/>
    <w:rsid w:val="00D403BB"/>
    <w:rsid w:val="00D40885"/>
    <w:rsid w:val="00D409D7"/>
    <w:rsid w:val="00D40B0A"/>
    <w:rsid w:val="00D40D4A"/>
    <w:rsid w:val="00D41814"/>
    <w:rsid w:val="00D41AFC"/>
    <w:rsid w:val="00D41C2D"/>
    <w:rsid w:val="00D41DAB"/>
    <w:rsid w:val="00D41F64"/>
    <w:rsid w:val="00D420D3"/>
    <w:rsid w:val="00D420E2"/>
    <w:rsid w:val="00D42180"/>
    <w:rsid w:val="00D4226D"/>
    <w:rsid w:val="00D42E4A"/>
    <w:rsid w:val="00D430D3"/>
    <w:rsid w:val="00D430E4"/>
    <w:rsid w:val="00D43198"/>
    <w:rsid w:val="00D434F8"/>
    <w:rsid w:val="00D436CA"/>
    <w:rsid w:val="00D4371E"/>
    <w:rsid w:val="00D43962"/>
    <w:rsid w:val="00D439E2"/>
    <w:rsid w:val="00D43AC5"/>
    <w:rsid w:val="00D43F76"/>
    <w:rsid w:val="00D4435D"/>
    <w:rsid w:val="00D447D6"/>
    <w:rsid w:val="00D44A0D"/>
    <w:rsid w:val="00D44AD3"/>
    <w:rsid w:val="00D44B58"/>
    <w:rsid w:val="00D45252"/>
    <w:rsid w:val="00D45437"/>
    <w:rsid w:val="00D45451"/>
    <w:rsid w:val="00D458B1"/>
    <w:rsid w:val="00D45B51"/>
    <w:rsid w:val="00D45D8B"/>
    <w:rsid w:val="00D45F17"/>
    <w:rsid w:val="00D461B9"/>
    <w:rsid w:val="00D4629B"/>
    <w:rsid w:val="00D468A3"/>
    <w:rsid w:val="00D468B4"/>
    <w:rsid w:val="00D46ABC"/>
    <w:rsid w:val="00D46BF6"/>
    <w:rsid w:val="00D46EA3"/>
    <w:rsid w:val="00D46F58"/>
    <w:rsid w:val="00D47229"/>
    <w:rsid w:val="00D4732A"/>
    <w:rsid w:val="00D47378"/>
    <w:rsid w:val="00D47402"/>
    <w:rsid w:val="00D4760C"/>
    <w:rsid w:val="00D476C6"/>
    <w:rsid w:val="00D47757"/>
    <w:rsid w:val="00D4783A"/>
    <w:rsid w:val="00D47B05"/>
    <w:rsid w:val="00D47DFD"/>
    <w:rsid w:val="00D5028C"/>
    <w:rsid w:val="00D502BF"/>
    <w:rsid w:val="00D508A0"/>
    <w:rsid w:val="00D50961"/>
    <w:rsid w:val="00D50C27"/>
    <w:rsid w:val="00D50C3E"/>
    <w:rsid w:val="00D5100F"/>
    <w:rsid w:val="00D51808"/>
    <w:rsid w:val="00D5188C"/>
    <w:rsid w:val="00D519BC"/>
    <w:rsid w:val="00D51BC0"/>
    <w:rsid w:val="00D51DB3"/>
    <w:rsid w:val="00D51E00"/>
    <w:rsid w:val="00D521B9"/>
    <w:rsid w:val="00D52367"/>
    <w:rsid w:val="00D5256C"/>
    <w:rsid w:val="00D525E6"/>
    <w:rsid w:val="00D525E9"/>
    <w:rsid w:val="00D52B25"/>
    <w:rsid w:val="00D52C2F"/>
    <w:rsid w:val="00D53005"/>
    <w:rsid w:val="00D53431"/>
    <w:rsid w:val="00D5351B"/>
    <w:rsid w:val="00D53523"/>
    <w:rsid w:val="00D5358F"/>
    <w:rsid w:val="00D53672"/>
    <w:rsid w:val="00D53723"/>
    <w:rsid w:val="00D537B6"/>
    <w:rsid w:val="00D53D2E"/>
    <w:rsid w:val="00D54040"/>
    <w:rsid w:val="00D54113"/>
    <w:rsid w:val="00D541B5"/>
    <w:rsid w:val="00D5429D"/>
    <w:rsid w:val="00D54472"/>
    <w:rsid w:val="00D55168"/>
    <w:rsid w:val="00D5522C"/>
    <w:rsid w:val="00D553B5"/>
    <w:rsid w:val="00D555A8"/>
    <w:rsid w:val="00D55678"/>
    <w:rsid w:val="00D55796"/>
    <w:rsid w:val="00D55855"/>
    <w:rsid w:val="00D5593D"/>
    <w:rsid w:val="00D559D0"/>
    <w:rsid w:val="00D55E50"/>
    <w:rsid w:val="00D56132"/>
    <w:rsid w:val="00D56229"/>
    <w:rsid w:val="00D56366"/>
    <w:rsid w:val="00D56534"/>
    <w:rsid w:val="00D565FC"/>
    <w:rsid w:val="00D569CA"/>
    <w:rsid w:val="00D56C20"/>
    <w:rsid w:val="00D56F38"/>
    <w:rsid w:val="00D57028"/>
    <w:rsid w:val="00D571EE"/>
    <w:rsid w:val="00D572BE"/>
    <w:rsid w:val="00D57385"/>
    <w:rsid w:val="00D575A6"/>
    <w:rsid w:val="00D5773E"/>
    <w:rsid w:val="00D577EB"/>
    <w:rsid w:val="00D578D6"/>
    <w:rsid w:val="00D57CFA"/>
    <w:rsid w:val="00D57FBF"/>
    <w:rsid w:val="00D57FE2"/>
    <w:rsid w:val="00D60325"/>
    <w:rsid w:val="00D60455"/>
    <w:rsid w:val="00D6071E"/>
    <w:rsid w:val="00D6085A"/>
    <w:rsid w:val="00D60CF2"/>
    <w:rsid w:val="00D60E1E"/>
    <w:rsid w:val="00D60F90"/>
    <w:rsid w:val="00D613F4"/>
    <w:rsid w:val="00D614D9"/>
    <w:rsid w:val="00D615E3"/>
    <w:rsid w:val="00D6162E"/>
    <w:rsid w:val="00D618F0"/>
    <w:rsid w:val="00D618F6"/>
    <w:rsid w:val="00D6197F"/>
    <w:rsid w:val="00D61A5C"/>
    <w:rsid w:val="00D61AA4"/>
    <w:rsid w:val="00D61B65"/>
    <w:rsid w:val="00D61B95"/>
    <w:rsid w:val="00D61DCA"/>
    <w:rsid w:val="00D61E61"/>
    <w:rsid w:val="00D61F3C"/>
    <w:rsid w:val="00D62006"/>
    <w:rsid w:val="00D620D2"/>
    <w:rsid w:val="00D62CC5"/>
    <w:rsid w:val="00D632E2"/>
    <w:rsid w:val="00D635E8"/>
    <w:rsid w:val="00D6360A"/>
    <w:rsid w:val="00D638F3"/>
    <w:rsid w:val="00D63974"/>
    <w:rsid w:val="00D63DCE"/>
    <w:rsid w:val="00D6472A"/>
    <w:rsid w:val="00D6479E"/>
    <w:rsid w:val="00D648FC"/>
    <w:rsid w:val="00D6493F"/>
    <w:rsid w:val="00D64A9B"/>
    <w:rsid w:val="00D64E13"/>
    <w:rsid w:val="00D65033"/>
    <w:rsid w:val="00D6518E"/>
    <w:rsid w:val="00D6567C"/>
    <w:rsid w:val="00D65870"/>
    <w:rsid w:val="00D65BE1"/>
    <w:rsid w:val="00D65CFB"/>
    <w:rsid w:val="00D65F22"/>
    <w:rsid w:val="00D6600C"/>
    <w:rsid w:val="00D660FF"/>
    <w:rsid w:val="00D661EE"/>
    <w:rsid w:val="00D668B5"/>
    <w:rsid w:val="00D674D7"/>
    <w:rsid w:val="00D6758F"/>
    <w:rsid w:val="00D675D9"/>
    <w:rsid w:val="00D67626"/>
    <w:rsid w:val="00D67650"/>
    <w:rsid w:val="00D677FA"/>
    <w:rsid w:val="00D67AF8"/>
    <w:rsid w:val="00D67BB5"/>
    <w:rsid w:val="00D70257"/>
    <w:rsid w:val="00D70379"/>
    <w:rsid w:val="00D70573"/>
    <w:rsid w:val="00D707A4"/>
    <w:rsid w:val="00D70825"/>
    <w:rsid w:val="00D70DDA"/>
    <w:rsid w:val="00D70E4F"/>
    <w:rsid w:val="00D710FE"/>
    <w:rsid w:val="00D715A1"/>
    <w:rsid w:val="00D71983"/>
    <w:rsid w:val="00D71A35"/>
    <w:rsid w:val="00D71CD4"/>
    <w:rsid w:val="00D71D86"/>
    <w:rsid w:val="00D7202B"/>
    <w:rsid w:val="00D724D3"/>
    <w:rsid w:val="00D724E0"/>
    <w:rsid w:val="00D724E6"/>
    <w:rsid w:val="00D725F2"/>
    <w:rsid w:val="00D72821"/>
    <w:rsid w:val="00D72AE4"/>
    <w:rsid w:val="00D72B1D"/>
    <w:rsid w:val="00D72CB1"/>
    <w:rsid w:val="00D72EB5"/>
    <w:rsid w:val="00D73389"/>
    <w:rsid w:val="00D7351B"/>
    <w:rsid w:val="00D73686"/>
    <w:rsid w:val="00D73CB2"/>
    <w:rsid w:val="00D73F14"/>
    <w:rsid w:val="00D7435A"/>
    <w:rsid w:val="00D746E9"/>
    <w:rsid w:val="00D74922"/>
    <w:rsid w:val="00D74DF8"/>
    <w:rsid w:val="00D74E3D"/>
    <w:rsid w:val="00D74EC6"/>
    <w:rsid w:val="00D753F5"/>
    <w:rsid w:val="00D75511"/>
    <w:rsid w:val="00D7568A"/>
    <w:rsid w:val="00D7586B"/>
    <w:rsid w:val="00D75A41"/>
    <w:rsid w:val="00D75CA6"/>
    <w:rsid w:val="00D75E5E"/>
    <w:rsid w:val="00D76337"/>
    <w:rsid w:val="00D76587"/>
    <w:rsid w:val="00D7718F"/>
    <w:rsid w:val="00D77436"/>
    <w:rsid w:val="00D774E7"/>
    <w:rsid w:val="00D778AC"/>
    <w:rsid w:val="00D77943"/>
    <w:rsid w:val="00D77C21"/>
    <w:rsid w:val="00D8070B"/>
    <w:rsid w:val="00D807FF"/>
    <w:rsid w:val="00D8086F"/>
    <w:rsid w:val="00D80CF5"/>
    <w:rsid w:val="00D80DBA"/>
    <w:rsid w:val="00D81021"/>
    <w:rsid w:val="00D81314"/>
    <w:rsid w:val="00D81558"/>
    <w:rsid w:val="00D8167B"/>
    <w:rsid w:val="00D81DD8"/>
    <w:rsid w:val="00D81E89"/>
    <w:rsid w:val="00D81F75"/>
    <w:rsid w:val="00D82182"/>
    <w:rsid w:val="00D8299F"/>
    <w:rsid w:val="00D829CF"/>
    <w:rsid w:val="00D829EF"/>
    <w:rsid w:val="00D82CC4"/>
    <w:rsid w:val="00D82D23"/>
    <w:rsid w:val="00D82ECF"/>
    <w:rsid w:val="00D832F4"/>
    <w:rsid w:val="00D833BC"/>
    <w:rsid w:val="00D83AC3"/>
    <w:rsid w:val="00D83BAA"/>
    <w:rsid w:val="00D83E50"/>
    <w:rsid w:val="00D84273"/>
    <w:rsid w:val="00D845AB"/>
    <w:rsid w:val="00D84A3B"/>
    <w:rsid w:val="00D84BC9"/>
    <w:rsid w:val="00D84E9B"/>
    <w:rsid w:val="00D84F16"/>
    <w:rsid w:val="00D85163"/>
    <w:rsid w:val="00D852B0"/>
    <w:rsid w:val="00D8549F"/>
    <w:rsid w:val="00D85C53"/>
    <w:rsid w:val="00D85E0A"/>
    <w:rsid w:val="00D85F07"/>
    <w:rsid w:val="00D85FD5"/>
    <w:rsid w:val="00D860BB"/>
    <w:rsid w:val="00D86214"/>
    <w:rsid w:val="00D863F2"/>
    <w:rsid w:val="00D865A8"/>
    <w:rsid w:val="00D86A46"/>
    <w:rsid w:val="00D86ADE"/>
    <w:rsid w:val="00D86CC8"/>
    <w:rsid w:val="00D86DA4"/>
    <w:rsid w:val="00D86F99"/>
    <w:rsid w:val="00D8700F"/>
    <w:rsid w:val="00D87173"/>
    <w:rsid w:val="00D8772A"/>
    <w:rsid w:val="00D87B0D"/>
    <w:rsid w:val="00D87C07"/>
    <w:rsid w:val="00D87CB9"/>
    <w:rsid w:val="00D87DD3"/>
    <w:rsid w:val="00D87E7E"/>
    <w:rsid w:val="00D87EE0"/>
    <w:rsid w:val="00D9074A"/>
    <w:rsid w:val="00D90E3C"/>
    <w:rsid w:val="00D90F43"/>
    <w:rsid w:val="00D91011"/>
    <w:rsid w:val="00D91351"/>
    <w:rsid w:val="00D91445"/>
    <w:rsid w:val="00D91492"/>
    <w:rsid w:val="00D9173C"/>
    <w:rsid w:val="00D917FB"/>
    <w:rsid w:val="00D91AF4"/>
    <w:rsid w:val="00D91D05"/>
    <w:rsid w:val="00D91FF3"/>
    <w:rsid w:val="00D92304"/>
    <w:rsid w:val="00D92819"/>
    <w:rsid w:val="00D92EA3"/>
    <w:rsid w:val="00D93535"/>
    <w:rsid w:val="00D935EF"/>
    <w:rsid w:val="00D93729"/>
    <w:rsid w:val="00D93897"/>
    <w:rsid w:val="00D938CD"/>
    <w:rsid w:val="00D93995"/>
    <w:rsid w:val="00D93A1A"/>
    <w:rsid w:val="00D9425F"/>
    <w:rsid w:val="00D943EA"/>
    <w:rsid w:val="00D9463E"/>
    <w:rsid w:val="00D948E6"/>
    <w:rsid w:val="00D94B27"/>
    <w:rsid w:val="00D94C98"/>
    <w:rsid w:val="00D94EB0"/>
    <w:rsid w:val="00D952DE"/>
    <w:rsid w:val="00D9538C"/>
    <w:rsid w:val="00D95595"/>
    <w:rsid w:val="00D95609"/>
    <w:rsid w:val="00D95795"/>
    <w:rsid w:val="00D95CF9"/>
    <w:rsid w:val="00D95DBA"/>
    <w:rsid w:val="00D95E23"/>
    <w:rsid w:val="00D95F91"/>
    <w:rsid w:val="00D96295"/>
    <w:rsid w:val="00D962AB"/>
    <w:rsid w:val="00D965E6"/>
    <w:rsid w:val="00D968B8"/>
    <w:rsid w:val="00D96E75"/>
    <w:rsid w:val="00D96E76"/>
    <w:rsid w:val="00D96FD5"/>
    <w:rsid w:val="00D97711"/>
    <w:rsid w:val="00D977F2"/>
    <w:rsid w:val="00D97828"/>
    <w:rsid w:val="00D97A08"/>
    <w:rsid w:val="00D97B51"/>
    <w:rsid w:val="00D97C0E"/>
    <w:rsid w:val="00D97C7B"/>
    <w:rsid w:val="00D97CFE"/>
    <w:rsid w:val="00DA0020"/>
    <w:rsid w:val="00DA04AA"/>
    <w:rsid w:val="00DA0AC8"/>
    <w:rsid w:val="00DA0C0E"/>
    <w:rsid w:val="00DA0FC4"/>
    <w:rsid w:val="00DA0FFD"/>
    <w:rsid w:val="00DA10E6"/>
    <w:rsid w:val="00DA1305"/>
    <w:rsid w:val="00DA17BF"/>
    <w:rsid w:val="00DA1832"/>
    <w:rsid w:val="00DA1ABE"/>
    <w:rsid w:val="00DA1E9B"/>
    <w:rsid w:val="00DA21EE"/>
    <w:rsid w:val="00DA22B0"/>
    <w:rsid w:val="00DA22FD"/>
    <w:rsid w:val="00DA2993"/>
    <w:rsid w:val="00DA2B07"/>
    <w:rsid w:val="00DA2DF7"/>
    <w:rsid w:val="00DA2E7C"/>
    <w:rsid w:val="00DA32A8"/>
    <w:rsid w:val="00DA356A"/>
    <w:rsid w:val="00DA363A"/>
    <w:rsid w:val="00DA3710"/>
    <w:rsid w:val="00DA37E7"/>
    <w:rsid w:val="00DA3994"/>
    <w:rsid w:val="00DA3A74"/>
    <w:rsid w:val="00DA3FFA"/>
    <w:rsid w:val="00DA420D"/>
    <w:rsid w:val="00DA43A6"/>
    <w:rsid w:val="00DA4B71"/>
    <w:rsid w:val="00DA4C4C"/>
    <w:rsid w:val="00DA5127"/>
    <w:rsid w:val="00DA51CA"/>
    <w:rsid w:val="00DA55AB"/>
    <w:rsid w:val="00DA5691"/>
    <w:rsid w:val="00DA57CA"/>
    <w:rsid w:val="00DA601D"/>
    <w:rsid w:val="00DA6291"/>
    <w:rsid w:val="00DA63FC"/>
    <w:rsid w:val="00DA643D"/>
    <w:rsid w:val="00DA6481"/>
    <w:rsid w:val="00DA6550"/>
    <w:rsid w:val="00DA6AB5"/>
    <w:rsid w:val="00DA7A91"/>
    <w:rsid w:val="00DA7B60"/>
    <w:rsid w:val="00DA7BBF"/>
    <w:rsid w:val="00DA7FE5"/>
    <w:rsid w:val="00DB01C4"/>
    <w:rsid w:val="00DB02E1"/>
    <w:rsid w:val="00DB05C2"/>
    <w:rsid w:val="00DB0732"/>
    <w:rsid w:val="00DB07E9"/>
    <w:rsid w:val="00DB09DA"/>
    <w:rsid w:val="00DB0AD0"/>
    <w:rsid w:val="00DB0B16"/>
    <w:rsid w:val="00DB0B1D"/>
    <w:rsid w:val="00DB0DE7"/>
    <w:rsid w:val="00DB12D8"/>
    <w:rsid w:val="00DB15D3"/>
    <w:rsid w:val="00DB16EB"/>
    <w:rsid w:val="00DB177F"/>
    <w:rsid w:val="00DB1973"/>
    <w:rsid w:val="00DB19F7"/>
    <w:rsid w:val="00DB1A7C"/>
    <w:rsid w:val="00DB1C66"/>
    <w:rsid w:val="00DB22AC"/>
    <w:rsid w:val="00DB23BC"/>
    <w:rsid w:val="00DB2703"/>
    <w:rsid w:val="00DB28B8"/>
    <w:rsid w:val="00DB2A77"/>
    <w:rsid w:val="00DB2BDB"/>
    <w:rsid w:val="00DB2CC7"/>
    <w:rsid w:val="00DB3105"/>
    <w:rsid w:val="00DB3229"/>
    <w:rsid w:val="00DB3591"/>
    <w:rsid w:val="00DB395C"/>
    <w:rsid w:val="00DB3B19"/>
    <w:rsid w:val="00DB3CC1"/>
    <w:rsid w:val="00DB4163"/>
    <w:rsid w:val="00DB41A5"/>
    <w:rsid w:val="00DB4209"/>
    <w:rsid w:val="00DB439D"/>
    <w:rsid w:val="00DB45F5"/>
    <w:rsid w:val="00DB48BB"/>
    <w:rsid w:val="00DB49D5"/>
    <w:rsid w:val="00DB4A01"/>
    <w:rsid w:val="00DB4A6D"/>
    <w:rsid w:val="00DB4AC6"/>
    <w:rsid w:val="00DB4B6C"/>
    <w:rsid w:val="00DB4C00"/>
    <w:rsid w:val="00DB4FC0"/>
    <w:rsid w:val="00DB579F"/>
    <w:rsid w:val="00DB5813"/>
    <w:rsid w:val="00DB5986"/>
    <w:rsid w:val="00DB6020"/>
    <w:rsid w:val="00DB602F"/>
    <w:rsid w:val="00DB62CF"/>
    <w:rsid w:val="00DB6510"/>
    <w:rsid w:val="00DB6528"/>
    <w:rsid w:val="00DB68C5"/>
    <w:rsid w:val="00DB6943"/>
    <w:rsid w:val="00DB6ED7"/>
    <w:rsid w:val="00DB70A0"/>
    <w:rsid w:val="00DB7261"/>
    <w:rsid w:val="00DB726F"/>
    <w:rsid w:val="00DB7271"/>
    <w:rsid w:val="00DB7274"/>
    <w:rsid w:val="00DB73F2"/>
    <w:rsid w:val="00DB75C1"/>
    <w:rsid w:val="00DB7801"/>
    <w:rsid w:val="00DB7A72"/>
    <w:rsid w:val="00DB7ADD"/>
    <w:rsid w:val="00DB7B5B"/>
    <w:rsid w:val="00DB7BA4"/>
    <w:rsid w:val="00DB7DCF"/>
    <w:rsid w:val="00DB7EEB"/>
    <w:rsid w:val="00DB7F5B"/>
    <w:rsid w:val="00DB7FE8"/>
    <w:rsid w:val="00DC0419"/>
    <w:rsid w:val="00DC083E"/>
    <w:rsid w:val="00DC0AED"/>
    <w:rsid w:val="00DC0B1D"/>
    <w:rsid w:val="00DC0C79"/>
    <w:rsid w:val="00DC0CEC"/>
    <w:rsid w:val="00DC0E0F"/>
    <w:rsid w:val="00DC0EB9"/>
    <w:rsid w:val="00DC1034"/>
    <w:rsid w:val="00DC1510"/>
    <w:rsid w:val="00DC1539"/>
    <w:rsid w:val="00DC17AE"/>
    <w:rsid w:val="00DC1C41"/>
    <w:rsid w:val="00DC1F32"/>
    <w:rsid w:val="00DC1F9A"/>
    <w:rsid w:val="00DC20ED"/>
    <w:rsid w:val="00DC2362"/>
    <w:rsid w:val="00DC2500"/>
    <w:rsid w:val="00DC2B22"/>
    <w:rsid w:val="00DC2CE9"/>
    <w:rsid w:val="00DC2F72"/>
    <w:rsid w:val="00DC3046"/>
    <w:rsid w:val="00DC3208"/>
    <w:rsid w:val="00DC36FA"/>
    <w:rsid w:val="00DC3822"/>
    <w:rsid w:val="00DC390B"/>
    <w:rsid w:val="00DC3F28"/>
    <w:rsid w:val="00DC40AD"/>
    <w:rsid w:val="00DC40ED"/>
    <w:rsid w:val="00DC4133"/>
    <w:rsid w:val="00DC4D05"/>
    <w:rsid w:val="00DC50ED"/>
    <w:rsid w:val="00DC55E5"/>
    <w:rsid w:val="00DC5B8B"/>
    <w:rsid w:val="00DC5C2B"/>
    <w:rsid w:val="00DC5EEA"/>
    <w:rsid w:val="00DC618A"/>
    <w:rsid w:val="00DC641D"/>
    <w:rsid w:val="00DC6488"/>
    <w:rsid w:val="00DC6A95"/>
    <w:rsid w:val="00DC6C11"/>
    <w:rsid w:val="00DC6D51"/>
    <w:rsid w:val="00DC6EA5"/>
    <w:rsid w:val="00DC6F80"/>
    <w:rsid w:val="00DC716C"/>
    <w:rsid w:val="00DC7213"/>
    <w:rsid w:val="00DC72EB"/>
    <w:rsid w:val="00DC737C"/>
    <w:rsid w:val="00DC777B"/>
    <w:rsid w:val="00DC7F1D"/>
    <w:rsid w:val="00DD00E8"/>
    <w:rsid w:val="00DD0790"/>
    <w:rsid w:val="00DD0830"/>
    <w:rsid w:val="00DD09AF"/>
    <w:rsid w:val="00DD0BB3"/>
    <w:rsid w:val="00DD0CB8"/>
    <w:rsid w:val="00DD0CC0"/>
    <w:rsid w:val="00DD0DC6"/>
    <w:rsid w:val="00DD1E3B"/>
    <w:rsid w:val="00DD216F"/>
    <w:rsid w:val="00DD2559"/>
    <w:rsid w:val="00DD25B2"/>
    <w:rsid w:val="00DD2822"/>
    <w:rsid w:val="00DD2E6A"/>
    <w:rsid w:val="00DD35DF"/>
    <w:rsid w:val="00DD36BE"/>
    <w:rsid w:val="00DD37CB"/>
    <w:rsid w:val="00DD39B4"/>
    <w:rsid w:val="00DD3A47"/>
    <w:rsid w:val="00DD3B12"/>
    <w:rsid w:val="00DD3DB4"/>
    <w:rsid w:val="00DD4283"/>
    <w:rsid w:val="00DD4590"/>
    <w:rsid w:val="00DD45E5"/>
    <w:rsid w:val="00DD46E5"/>
    <w:rsid w:val="00DD5122"/>
    <w:rsid w:val="00DD51AD"/>
    <w:rsid w:val="00DD52E5"/>
    <w:rsid w:val="00DD5310"/>
    <w:rsid w:val="00DD531F"/>
    <w:rsid w:val="00DD5533"/>
    <w:rsid w:val="00DD55B7"/>
    <w:rsid w:val="00DD57EC"/>
    <w:rsid w:val="00DD5833"/>
    <w:rsid w:val="00DD59A4"/>
    <w:rsid w:val="00DD5AD2"/>
    <w:rsid w:val="00DD5DCC"/>
    <w:rsid w:val="00DD5EAC"/>
    <w:rsid w:val="00DD622E"/>
    <w:rsid w:val="00DD6474"/>
    <w:rsid w:val="00DD65B3"/>
    <w:rsid w:val="00DD6A8D"/>
    <w:rsid w:val="00DD6BCB"/>
    <w:rsid w:val="00DD6CBB"/>
    <w:rsid w:val="00DD6DC9"/>
    <w:rsid w:val="00DD6ECA"/>
    <w:rsid w:val="00DD7126"/>
    <w:rsid w:val="00DD7488"/>
    <w:rsid w:val="00DD7576"/>
    <w:rsid w:val="00DD7737"/>
    <w:rsid w:val="00DD7DA4"/>
    <w:rsid w:val="00DE00FD"/>
    <w:rsid w:val="00DE0410"/>
    <w:rsid w:val="00DE0416"/>
    <w:rsid w:val="00DE0553"/>
    <w:rsid w:val="00DE05E3"/>
    <w:rsid w:val="00DE0835"/>
    <w:rsid w:val="00DE0842"/>
    <w:rsid w:val="00DE0968"/>
    <w:rsid w:val="00DE09FC"/>
    <w:rsid w:val="00DE0E40"/>
    <w:rsid w:val="00DE0EFC"/>
    <w:rsid w:val="00DE1362"/>
    <w:rsid w:val="00DE13FB"/>
    <w:rsid w:val="00DE1D7E"/>
    <w:rsid w:val="00DE208D"/>
    <w:rsid w:val="00DE25C9"/>
    <w:rsid w:val="00DE2B37"/>
    <w:rsid w:val="00DE2E57"/>
    <w:rsid w:val="00DE2E84"/>
    <w:rsid w:val="00DE2F0C"/>
    <w:rsid w:val="00DE2FC0"/>
    <w:rsid w:val="00DE32E5"/>
    <w:rsid w:val="00DE3352"/>
    <w:rsid w:val="00DE3366"/>
    <w:rsid w:val="00DE34A8"/>
    <w:rsid w:val="00DE34E4"/>
    <w:rsid w:val="00DE34E9"/>
    <w:rsid w:val="00DE3584"/>
    <w:rsid w:val="00DE35CA"/>
    <w:rsid w:val="00DE41C1"/>
    <w:rsid w:val="00DE4248"/>
    <w:rsid w:val="00DE44F4"/>
    <w:rsid w:val="00DE4513"/>
    <w:rsid w:val="00DE47AF"/>
    <w:rsid w:val="00DE495E"/>
    <w:rsid w:val="00DE4A03"/>
    <w:rsid w:val="00DE4D1E"/>
    <w:rsid w:val="00DE5258"/>
    <w:rsid w:val="00DE543E"/>
    <w:rsid w:val="00DE553B"/>
    <w:rsid w:val="00DE55E8"/>
    <w:rsid w:val="00DE5A8C"/>
    <w:rsid w:val="00DE5B32"/>
    <w:rsid w:val="00DE5CFE"/>
    <w:rsid w:val="00DE5D0B"/>
    <w:rsid w:val="00DE5D5E"/>
    <w:rsid w:val="00DE5F94"/>
    <w:rsid w:val="00DE61F5"/>
    <w:rsid w:val="00DE6286"/>
    <w:rsid w:val="00DE6452"/>
    <w:rsid w:val="00DE6733"/>
    <w:rsid w:val="00DE68E4"/>
    <w:rsid w:val="00DE6BCF"/>
    <w:rsid w:val="00DE6D60"/>
    <w:rsid w:val="00DE6E4B"/>
    <w:rsid w:val="00DE6ED3"/>
    <w:rsid w:val="00DE7924"/>
    <w:rsid w:val="00DE7A5E"/>
    <w:rsid w:val="00DE7E07"/>
    <w:rsid w:val="00DE7E8B"/>
    <w:rsid w:val="00DE7EFA"/>
    <w:rsid w:val="00DF03C6"/>
    <w:rsid w:val="00DF0717"/>
    <w:rsid w:val="00DF093C"/>
    <w:rsid w:val="00DF0B7A"/>
    <w:rsid w:val="00DF0BB4"/>
    <w:rsid w:val="00DF0EDD"/>
    <w:rsid w:val="00DF10E8"/>
    <w:rsid w:val="00DF129B"/>
    <w:rsid w:val="00DF12A9"/>
    <w:rsid w:val="00DF12EE"/>
    <w:rsid w:val="00DF14FF"/>
    <w:rsid w:val="00DF19BC"/>
    <w:rsid w:val="00DF1A2C"/>
    <w:rsid w:val="00DF1A72"/>
    <w:rsid w:val="00DF25EE"/>
    <w:rsid w:val="00DF291E"/>
    <w:rsid w:val="00DF2F26"/>
    <w:rsid w:val="00DF307E"/>
    <w:rsid w:val="00DF3180"/>
    <w:rsid w:val="00DF3C15"/>
    <w:rsid w:val="00DF3C56"/>
    <w:rsid w:val="00DF3D1D"/>
    <w:rsid w:val="00DF3DB5"/>
    <w:rsid w:val="00DF3EDE"/>
    <w:rsid w:val="00DF481A"/>
    <w:rsid w:val="00DF4845"/>
    <w:rsid w:val="00DF4A58"/>
    <w:rsid w:val="00DF4C67"/>
    <w:rsid w:val="00DF4FF2"/>
    <w:rsid w:val="00DF513F"/>
    <w:rsid w:val="00DF5228"/>
    <w:rsid w:val="00DF52F6"/>
    <w:rsid w:val="00DF5501"/>
    <w:rsid w:val="00DF5553"/>
    <w:rsid w:val="00DF5793"/>
    <w:rsid w:val="00DF57E3"/>
    <w:rsid w:val="00DF5B49"/>
    <w:rsid w:val="00DF5C07"/>
    <w:rsid w:val="00DF5F70"/>
    <w:rsid w:val="00DF6026"/>
    <w:rsid w:val="00DF61EA"/>
    <w:rsid w:val="00DF6703"/>
    <w:rsid w:val="00DF6731"/>
    <w:rsid w:val="00DF6765"/>
    <w:rsid w:val="00DF682B"/>
    <w:rsid w:val="00DF6A89"/>
    <w:rsid w:val="00DF6AE1"/>
    <w:rsid w:val="00DF6B51"/>
    <w:rsid w:val="00DF6BB2"/>
    <w:rsid w:val="00DF6EEF"/>
    <w:rsid w:val="00DF6F3B"/>
    <w:rsid w:val="00DF71AB"/>
    <w:rsid w:val="00DF71D4"/>
    <w:rsid w:val="00DF7618"/>
    <w:rsid w:val="00DF76E8"/>
    <w:rsid w:val="00DF7A32"/>
    <w:rsid w:val="00E0009A"/>
    <w:rsid w:val="00E0069D"/>
    <w:rsid w:val="00E007CB"/>
    <w:rsid w:val="00E0091C"/>
    <w:rsid w:val="00E0093C"/>
    <w:rsid w:val="00E00AAA"/>
    <w:rsid w:val="00E00CB1"/>
    <w:rsid w:val="00E00CDD"/>
    <w:rsid w:val="00E00E90"/>
    <w:rsid w:val="00E00F4A"/>
    <w:rsid w:val="00E00FB7"/>
    <w:rsid w:val="00E011EB"/>
    <w:rsid w:val="00E017B6"/>
    <w:rsid w:val="00E01B4D"/>
    <w:rsid w:val="00E0205A"/>
    <w:rsid w:val="00E02775"/>
    <w:rsid w:val="00E02A7A"/>
    <w:rsid w:val="00E02AEA"/>
    <w:rsid w:val="00E02BBE"/>
    <w:rsid w:val="00E02C6D"/>
    <w:rsid w:val="00E02D83"/>
    <w:rsid w:val="00E02F7E"/>
    <w:rsid w:val="00E03502"/>
    <w:rsid w:val="00E03567"/>
    <w:rsid w:val="00E03AFE"/>
    <w:rsid w:val="00E03DE9"/>
    <w:rsid w:val="00E03F60"/>
    <w:rsid w:val="00E04058"/>
    <w:rsid w:val="00E0414A"/>
    <w:rsid w:val="00E04380"/>
    <w:rsid w:val="00E04D3A"/>
    <w:rsid w:val="00E05334"/>
    <w:rsid w:val="00E0562D"/>
    <w:rsid w:val="00E058CC"/>
    <w:rsid w:val="00E05A3C"/>
    <w:rsid w:val="00E05B07"/>
    <w:rsid w:val="00E05F89"/>
    <w:rsid w:val="00E0644D"/>
    <w:rsid w:val="00E06534"/>
    <w:rsid w:val="00E06572"/>
    <w:rsid w:val="00E066D5"/>
    <w:rsid w:val="00E0678F"/>
    <w:rsid w:val="00E067C9"/>
    <w:rsid w:val="00E06853"/>
    <w:rsid w:val="00E06950"/>
    <w:rsid w:val="00E06CEC"/>
    <w:rsid w:val="00E06EBF"/>
    <w:rsid w:val="00E06FD6"/>
    <w:rsid w:val="00E07579"/>
    <w:rsid w:val="00E077C4"/>
    <w:rsid w:val="00E079E8"/>
    <w:rsid w:val="00E07C67"/>
    <w:rsid w:val="00E07CFB"/>
    <w:rsid w:val="00E07DFE"/>
    <w:rsid w:val="00E102E2"/>
    <w:rsid w:val="00E104FE"/>
    <w:rsid w:val="00E10771"/>
    <w:rsid w:val="00E10867"/>
    <w:rsid w:val="00E109C4"/>
    <w:rsid w:val="00E10C9F"/>
    <w:rsid w:val="00E112B4"/>
    <w:rsid w:val="00E11631"/>
    <w:rsid w:val="00E119E7"/>
    <w:rsid w:val="00E11C63"/>
    <w:rsid w:val="00E11D58"/>
    <w:rsid w:val="00E11D59"/>
    <w:rsid w:val="00E11EEC"/>
    <w:rsid w:val="00E121C0"/>
    <w:rsid w:val="00E12490"/>
    <w:rsid w:val="00E12519"/>
    <w:rsid w:val="00E12591"/>
    <w:rsid w:val="00E126AF"/>
    <w:rsid w:val="00E12932"/>
    <w:rsid w:val="00E12D5D"/>
    <w:rsid w:val="00E12F0D"/>
    <w:rsid w:val="00E13112"/>
    <w:rsid w:val="00E131C0"/>
    <w:rsid w:val="00E13427"/>
    <w:rsid w:val="00E1354C"/>
    <w:rsid w:val="00E137E6"/>
    <w:rsid w:val="00E1387E"/>
    <w:rsid w:val="00E13CAD"/>
    <w:rsid w:val="00E13E79"/>
    <w:rsid w:val="00E14376"/>
    <w:rsid w:val="00E1438F"/>
    <w:rsid w:val="00E145F3"/>
    <w:rsid w:val="00E14870"/>
    <w:rsid w:val="00E14A23"/>
    <w:rsid w:val="00E14DDB"/>
    <w:rsid w:val="00E151B8"/>
    <w:rsid w:val="00E15325"/>
    <w:rsid w:val="00E154B9"/>
    <w:rsid w:val="00E1552B"/>
    <w:rsid w:val="00E155AE"/>
    <w:rsid w:val="00E15919"/>
    <w:rsid w:val="00E15C0D"/>
    <w:rsid w:val="00E15CD2"/>
    <w:rsid w:val="00E15ED3"/>
    <w:rsid w:val="00E166E6"/>
    <w:rsid w:val="00E1690E"/>
    <w:rsid w:val="00E16F84"/>
    <w:rsid w:val="00E1705D"/>
    <w:rsid w:val="00E170D2"/>
    <w:rsid w:val="00E17215"/>
    <w:rsid w:val="00E174A9"/>
    <w:rsid w:val="00E174D5"/>
    <w:rsid w:val="00E1754D"/>
    <w:rsid w:val="00E17633"/>
    <w:rsid w:val="00E179D5"/>
    <w:rsid w:val="00E17E65"/>
    <w:rsid w:val="00E2095D"/>
    <w:rsid w:val="00E20977"/>
    <w:rsid w:val="00E20A24"/>
    <w:rsid w:val="00E20E7C"/>
    <w:rsid w:val="00E20E84"/>
    <w:rsid w:val="00E20ED6"/>
    <w:rsid w:val="00E2159C"/>
    <w:rsid w:val="00E2166D"/>
    <w:rsid w:val="00E216A5"/>
    <w:rsid w:val="00E216B9"/>
    <w:rsid w:val="00E21B53"/>
    <w:rsid w:val="00E21CBC"/>
    <w:rsid w:val="00E21CDA"/>
    <w:rsid w:val="00E22122"/>
    <w:rsid w:val="00E22975"/>
    <w:rsid w:val="00E22996"/>
    <w:rsid w:val="00E22B4B"/>
    <w:rsid w:val="00E22FB3"/>
    <w:rsid w:val="00E230C9"/>
    <w:rsid w:val="00E23401"/>
    <w:rsid w:val="00E234D7"/>
    <w:rsid w:val="00E23515"/>
    <w:rsid w:val="00E23C67"/>
    <w:rsid w:val="00E23C98"/>
    <w:rsid w:val="00E23DB0"/>
    <w:rsid w:val="00E24470"/>
    <w:rsid w:val="00E246A3"/>
    <w:rsid w:val="00E24CEA"/>
    <w:rsid w:val="00E250E3"/>
    <w:rsid w:val="00E25304"/>
    <w:rsid w:val="00E2551A"/>
    <w:rsid w:val="00E25AEE"/>
    <w:rsid w:val="00E25C33"/>
    <w:rsid w:val="00E25C36"/>
    <w:rsid w:val="00E25C49"/>
    <w:rsid w:val="00E25DCF"/>
    <w:rsid w:val="00E260D3"/>
    <w:rsid w:val="00E26B65"/>
    <w:rsid w:val="00E26B89"/>
    <w:rsid w:val="00E26D23"/>
    <w:rsid w:val="00E26D88"/>
    <w:rsid w:val="00E2706C"/>
    <w:rsid w:val="00E27071"/>
    <w:rsid w:val="00E272CA"/>
    <w:rsid w:val="00E27318"/>
    <w:rsid w:val="00E2787B"/>
    <w:rsid w:val="00E27B00"/>
    <w:rsid w:val="00E27C75"/>
    <w:rsid w:val="00E3034F"/>
    <w:rsid w:val="00E304E9"/>
    <w:rsid w:val="00E30664"/>
    <w:rsid w:val="00E30B64"/>
    <w:rsid w:val="00E30EA8"/>
    <w:rsid w:val="00E3120D"/>
    <w:rsid w:val="00E31243"/>
    <w:rsid w:val="00E312A6"/>
    <w:rsid w:val="00E31338"/>
    <w:rsid w:val="00E31ED7"/>
    <w:rsid w:val="00E31F7B"/>
    <w:rsid w:val="00E31F8E"/>
    <w:rsid w:val="00E320D9"/>
    <w:rsid w:val="00E323C6"/>
    <w:rsid w:val="00E3262D"/>
    <w:rsid w:val="00E32641"/>
    <w:rsid w:val="00E32710"/>
    <w:rsid w:val="00E32FB6"/>
    <w:rsid w:val="00E33063"/>
    <w:rsid w:val="00E335E6"/>
    <w:rsid w:val="00E339D7"/>
    <w:rsid w:val="00E33D8D"/>
    <w:rsid w:val="00E33E71"/>
    <w:rsid w:val="00E342CB"/>
    <w:rsid w:val="00E3495E"/>
    <w:rsid w:val="00E34DF6"/>
    <w:rsid w:val="00E34F27"/>
    <w:rsid w:val="00E35491"/>
    <w:rsid w:val="00E35A12"/>
    <w:rsid w:val="00E35CFB"/>
    <w:rsid w:val="00E35D2F"/>
    <w:rsid w:val="00E35F0E"/>
    <w:rsid w:val="00E36076"/>
    <w:rsid w:val="00E36225"/>
    <w:rsid w:val="00E364B3"/>
    <w:rsid w:val="00E36AB1"/>
    <w:rsid w:val="00E36B27"/>
    <w:rsid w:val="00E36C77"/>
    <w:rsid w:val="00E3709E"/>
    <w:rsid w:val="00E37694"/>
    <w:rsid w:val="00E37AEE"/>
    <w:rsid w:val="00E37C30"/>
    <w:rsid w:val="00E37C33"/>
    <w:rsid w:val="00E40149"/>
    <w:rsid w:val="00E401C2"/>
    <w:rsid w:val="00E402BB"/>
    <w:rsid w:val="00E404BE"/>
    <w:rsid w:val="00E404D6"/>
    <w:rsid w:val="00E40640"/>
    <w:rsid w:val="00E40694"/>
    <w:rsid w:val="00E40898"/>
    <w:rsid w:val="00E40FAE"/>
    <w:rsid w:val="00E415E0"/>
    <w:rsid w:val="00E416BF"/>
    <w:rsid w:val="00E41B12"/>
    <w:rsid w:val="00E41E83"/>
    <w:rsid w:val="00E41FFC"/>
    <w:rsid w:val="00E424E9"/>
    <w:rsid w:val="00E42516"/>
    <w:rsid w:val="00E428BF"/>
    <w:rsid w:val="00E429CA"/>
    <w:rsid w:val="00E42BD7"/>
    <w:rsid w:val="00E42D89"/>
    <w:rsid w:val="00E42DEB"/>
    <w:rsid w:val="00E43014"/>
    <w:rsid w:val="00E4308D"/>
    <w:rsid w:val="00E434A2"/>
    <w:rsid w:val="00E43530"/>
    <w:rsid w:val="00E435EF"/>
    <w:rsid w:val="00E43608"/>
    <w:rsid w:val="00E442D4"/>
    <w:rsid w:val="00E44FFB"/>
    <w:rsid w:val="00E452A9"/>
    <w:rsid w:val="00E45367"/>
    <w:rsid w:val="00E4540B"/>
    <w:rsid w:val="00E457CC"/>
    <w:rsid w:val="00E45810"/>
    <w:rsid w:val="00E45A18"/>
    <w:rsid w:val="00E45B81"/>
    <w:rsid w:val="00E45EF7"/>
    <w:rsid w:val="00E46119"/>
    <w:rsid w:val="00E46142"/>
    <w:rsid w:val="00E46260"/>
    <w:rsid w:val="00E463CC"/>
    <w:rsid w:val="00E4706A"/>
    <w:rsid w:val="00E470D0"/>
    <w:rsid w:val="00E47110"/>
    <w:rsid w:val="00E47310"/>
    <w:rsid w:val="00E4735C"/>
    <w:rsid w:val="00E473D5"/>
    <w:rsid w:val="00E4755A"/>
    <w:rsid w:val="00E4772B"/>
    <w:rsid w:val="00E47821"/>
    <w:rsid w:val="00E478D9"/>
    <w:rsid w:val="00E47C94"/>
    <w:rsid w:val="00E5035B"/>
    <w:rsid w:val="00E50691"/>
    <w:rsid w:val="00E50902"/>
    <w:rsid w:val="00E50904"/>
    <w:rsid w:val="00E50D42"/>
    <w:rsid w:val="00E5109D"/>
    <w:rsid w:val="00E5116B"/>
    <w:rsid w:val="00E511EE"/>
    <w:rsid w:val="00E51307"/>
    <w:rsid w:val="00E51455"/>
    <w:rsid w:val="00E5145B"/>
    <w:rsid w:val="00E518D4"/>
    <w:rsid w:val="00E51AF7"/>
    <w:rsid w:val="00E51B5C"/>
    <w:rsid w:val="00E51D12"/>
    <w:rsid w:val="00E51FAA"/>
    <w:rsid w:val="00E51FAC"/>
    <w:rsid w:val="00E520C1"/>
    <w:rsid w:val="00E525FC"/>
    <w:rsid w:val="00E5279E"/>
    <w:rsid w:val="00E527F6"/>
    <w:rsid w:val="00E52E36"/>
    <w:rsid w:val="00E52FC7"/>
    <w:rsid w:val="00E53825"/>
    <w:rsid w:val="00E5391E"/>
    <w:rsid w:val="00E539B0"/>
    <w:rsid w:val="00E53C16"/>
    <w:rsid w:val="00E53C3C"/>
    <w:rsid w:val="00E5401A"/>
    <w:rsid w:val="00E54107"/>
    <w:rsid w:val="00E54393"/>
    <w:rsid w:val="00E543B4"/>
    <w:rsid w:val="00E545A0"/>
    <w:rsid w:val="00E54606"/>
    <w:rsid w:val="00E5476C"/>
    <w:rsid w:val="00E54B03"/>
    <w:rsid w:val="00E54FF1"/>
    <w:rsid w:val="00E5511C"/>
    <w:rsid w:val="00E55366"/>
    <w:rsid w:val="00E5561E"/>
    <w:rsid w:val="00E557B3"/>
    <w:rsid w:val="00E558CA"/>
    <w:rsid w:val="00E55D2D"/>
    <w:rsid w:val="00E5606B"/>
    <w:rsid w:val="00E56618"/>
    <w:rsid w:val="00E56814"/>
    <w:rsid w:val="00E56876"/>
    <w:rsid w:val="00E569C1"/>
    <w:rsid w:val="00E56B22"/>
    <w:rsid w:val="00E56CBD"/>
    <w:rsid w:val="00E56CC3"/>
    <w:rsid w:val="00E56DB0"/>
    <w:rsid w:val="00E56DFB"/>
    <w:rsid w:val="00E570A4"/>
    <w:rsid w:val="00E571FC"/>
    <w:rsid w:val="00E575E1"/>
    <w:rsid w:val="00E578CA"/>
    <w:rsid w:val="00E57A21"/>
    <w:rsid w:val="00E57B0D"/>
    <w:rsid w:val="00E57B14"/>
    <w:rsid w:val="00E57E94"/>
    <w:rsid w:val="00E57F4A"/>
    <w:rsid w:val="00E6016D"/>
    <w:rsid w:val="00E602ED"/>
    <w:rsid w:val="00E603CA"/>
    <w:rsid w:val="00E6046C"/>
    <w:rsid w:val="00E606A0"/>
    <w:rsid w:val="00E60A97"/>
    <w:rsid w:val="00E60AF7"/>
    <w:rsid w:val="00E610AF"/>
    <w:rsid w:val="00E6112D"/>
    <w:rsid w:val="00E61161"/>
    <w:rsid w:val="00E61981"/>
    <w:rsid w:val="00E624F6"/>
    <w:rsid w:val="00E62534"/>
    <w:rsid w:val="00E62578"/>
    <w:rsid w:val="00E6267D"/>
    <w:rsid w:val="00E62939"/>
    <w:rsid w:val="00E6298F"/>
    <w:rsid w:val="00E62A1A"/>
    <w:rsid w:val="00E62C8A"/>
    <w:rsid w:val="00E62D21"/>
    <w:rsid w:val="00E62D8C"/>
    <w:rsid w:val="00E62FBA"/>
    <w:rsid w:val="00E630AB"/>
    <w:rsid w:val="00E63155"/>
    <w:rsid w:val="00E631B0"/>
    <w:rsid w:val="00E633DD"/>
    <w:rsid w:val="00E63563"/>
    <w:rsid w:val="00E6358A"/>
    <w:rsid w:val="00E6363A"/>
    <w:rsid w:val="00E637C2"/>
    <w:rsid w:val="00E63882"/>
    <w:rsid w:val="00E6393A"/>
    <w:rsid w:val="00E6408F"/>
    <w:rsid w:val="00E64110"/>
    <w:rsid w:val="00E6427D"/>
    <w:rsid w:val="00E6481D"/>
    <w:rsid w:val="00E6484E"/>
    <w:rsid w:val="00E64A1D"/>
    <w:rsid w:val="00E65266"/>
    <w:rsid w:val="00E652E5"/>
    <w:rsid w:val="00E6556F"/>
    <w:rsid w:val="00E655F2"/>
    <w:rsid w:val="00E6579C"/>
    <w:rsid w:val="00E657B6"/>
    <w:rsid w:val="00E657C0"/>
    <w:rsid w:val="00E65AC3"/>
    <w:rsid w:val="00E65D43"/>
    <w:rsid w:val="00E65E35"/>
    <w:rsid w:val="00E65E5A"/>
    <w:rsid w:val="00E65EAC"/>
    <w:rsid w:val="00E66394"/>
    <w:rsid w:val="00E664ED"/>
    <w:rsid w:val="00E6675A"/>
    <w:rsid w:val="00E66AF4"/>
    <w:rsid w:val="00E671B0"/>
    <w:rsid w:val="00E674D7"/>
    <w:rsid w:val="00E67695"/>
    <w:rsid w:val="00E6782E"/>
    <w:rsid w:val="00E67833"/>
    <w:rsid w:val="00E67A9E"/>
    <w:rsid w:val="00E67B7C"/>
    <w:rsid w:val="00E67D54"/>
    <w:rsid w:val="00E67F00"/>
    <w:rsid w:val="00E7023F"/>
    <w:rsid w:val="00E70283"/>
    <w:rsid w:val="00E704C6"/>
    <w:rsid w:val="00E7060D"/>
    <w:rsid w:val="00E7085C"/>
    <w:rsid w:val="00E70873"/>
    <w:rsid w:val="00E70930"/>
    <w:rsid w:val="00E709CA"/>
    <w:rsid w:val="00E70D12"/>
    <w:rsid w:val="00E70E6D"/>
    <w:rsid w:val="00E70F31"/>
    <w:rsid w:val="00E710E9"/>
    <w:rsid w:val="00E710F8"/>
    <w:rsid w:val="00E713DB"/>
    <w:rsid w:val="00E7182E"/>
    <w:rsid w:val="00E71C13"/>
    <w:rsid w:val="00E71CD0"/>
    <w:rsid w:val="00E71E5A"/>
    <w:rsid w:val="00E71FD9"/>
    <w:rsid w:val="00E72278"/>
    <w:rsid w:val="00E722BA"/>
    <w:rsid w:val="00E723B2"/>
    <w:rsid w:val="00E726AE"/>
    <w:rsid w:val="00E73186"/>
    <w:rsid w:val="00E7331E"/>
    <w:rsid w:val="00E73351"/>
    <w:rsid w:val="00E73523"/>
    <w:rsid w:val="00E7362A"/>
    <w:rsid w:val="00E738FB"/>
    <w:rsid w:val="00E73A55"/>
    <w:rsid w:val="00E73AEC"/>
    <w:rsid w:val="00E73B13"/>
    <w:rsid w:val="00E73D08"/>
    <w:rsid w:val="00E73D42"/>
    <w:rsid w:val="00E73E8D"/>
    <w:rsid w:val="00E73F81"/>
    <w:rsid w:val="00E745A0"/>
    <w:rsid w:val="00E745F6"/>
    <w:rsid w:val="00E746B9"/>
    <w:rsid w:val="00E748F5"/>
    <w:rsid w:val="00E749EC"/>
    <w:rsid w:val="00E74A0F"/>
    <w:rsid w:val="00E74B20"/>
    <w:rsid w:val="00E74B66"/>
    <w:rsid w:val="00E74C9B"/>
    <w:rsid w:val="00E74F96"/>
    <w:rsid w:val="00E7500A"/>
    <w:rsid w:val="00E7584C"/>
    <w:rsid w:val="00E75880"/>
    <w:rsid w:val="00E7593F"/>
    <w:rsid w:val="00E7598A"/>
    <w:rsid w:val="00E759AA"/>
    <w:rsid w:val="00E75C8F"/>
    <w:rsid w:val="00E75D45"/>
    <w:rsid w:val="00E75EC2"/>
    <w:rsid w:val="00E76032"/>
    <w:rsid w:val="00E761E8"/>
    <w:rsid w:val="00E764EA"/>
    <w:rsid w:val="00E767D1"/>
    <w:rsid w:val="00E7690E"/>
    <w:rsid w:val="00E76EA0"/>
    <w:rsid w:val="00E77207"/>
    <w:rsid w:val="00E7724E"/>
    <w:rsid w:val="00E7734F"/>
    <w:rsid w:val="00E773E9"/>
    <w:rsid w:val="00E77685"/>
    <w:rsid w:val="00E776B1"/>
    <w:rsid w:val="00E776B3"/>
    <w:rsid w:val="00E777DA"/>
    <w:rsid w:val="00E77C60"/>
    <w:rsid w:val="00E77D1C"/>
    <w:rsid w:val="00E77F31"/>
    <w:rsid w:val="00E800AC"/>
    <w:rsid w:val="00E800D8"/>
    <w:rsid w:val="00E8019F"/>
    <w:rsid w:val="00E801D7"/>
    <w:rsid w:val="00E80B2A"/>
    <w:rsid w:val="00E80CE6"/>
    <w:rsid w:val="00E80DF3"/>
    <w:rsid w:val="00E80FBE"/>
    <w:rsid w:val="00E81329"/>
    <w:rsid w:val="00E816A7"/>
    <w:rsid w:val="00E81842"/>
    <w:rsid w:val="00E818EA"/>
    <w:rsid w:val="00E81B35"/>
    <w:rsid w:val="00E81E56"/>
    <w:rsid w:val="00E82026"/>
    <w:rsid w:val="00E82128"/>
    <w:rsid w:val="00E82507"/>
    <w:rsid w:val="00E825CF"/>
    <w:rsid w:val="00E8268F"/>
    <w:rsid w:val="00E828BC"/>
    <w:rsid w:val="00E832D8"/>
    <w:rsid w:val="00E8343F"/>
    <w:rsid w:val="00E83F2A"/>
    <w:rsid w:val="00E84075"/>
    <w:rsid w:val="00E84176"/>
    <w:rsid w:val="00E84257"/>
    <w:rsid w:val="00E843DD"/>
    <w:rsid w:val="00E84400"/>
    <w:rsid w:val="00E8468A"/>
    <w:rsid w:val="00E84C38"/>
    <w:rsid w:val="00E84CF9"/>
    <w:rsid w:val="00E84E83"/>
    <w:rsid w:val="00E850FF"/>
    <w:rsid w:val="00E8546B"/>
    <w:rsid w:val="00E858C2"/>
    <w:rsid w:val="00E85D18"/>
    <w:rsid w:val="00E860F6"/>
    <w:rsid w:val="00E8687A"/>
    <w:rsid w:val="00E86A16"/>
    <w:rsid w:val="00E86DBC"/>
    <w:rsid w:val="00E86F90"/>
    <w:rsid w:val="00E87175"/>
    <w:rsid w:val="00E871E8"/>
    <w:rsid w:val="00E874AB"/>
    <w:rsid w:val="00E87AE2"/>
    <w:rsid w:val="00E87B6A"/>
    <w:rsid w:val="00E900DC"/>
    <w:rsid w:val="00E90323"/>
    <w:rsid w:val="00E90397"/>
    <w:rsid w:val="00E9041F"/>
    <w:rsid w:val="00E905AE"/>
    <w:rsid w:val="00E906C9"/>
    <w:rsid w:val="00E9086C"/>
    <w:rsid w:val="00E9095A"/>
    <w:rsid w:val="00E909A0"/>
    <w:rsid w:val="00E90CEA"/>
    <w:rsid w:val="00E9123A"/>
    <w:rsid w:val="00E914E0"/>
    <w:rsid w:val="00E91688"/>
    <w:rsid w:val="00E916DB"/>
    <w:rsid w:val="00E9183D"/>
    <w:rsid w:val="00E919EA"/>
    <w:rsid w:val="00E91D95"/>
    <w:rsid w:val="00E91DD6"/>
    <w:rsid w:val="00E92121"/>
    <w:rsid w:val="00E924C5"/>
    <w:rsid w:val="00E92501"/>
    <w:rsid w:val="00E92511"/>
    <w:rsid w:val="00E92B86"/>
    <w:rsid w:val="00E92CDA"/>
    <w:rsid w:val="00E92DB5"/>
    <w:rsid w:val="00E92EC3"/>
    <w:rsid w:val="00E93259"/>
    <w:rsid w:val="00E93532"/>
    <w:rsid w:val="00E93579"/>
    <w:rsid w:val="00E93634"/>
    <w:rsid w:val="00E93875"/>
    <w:rsid w:val="00E93A5E"/>
    <w:rsid w:val="00E93DB8"/>
    <w:rsid w:val="00E94028"/>
    <w:rsid w:val="00E94035"/>
    <w:rsid w:val="00E9432E"/>
    <w:rsid w:val="00E94626"/>
    <w:rsid w:val="00E9465B"/>
    <w:rsid w:val="00E94717"/>
    <w:rsid w:val="00E94839"/>
    <w:rsid w:val="00E94AEF"/>
    <w:rsid w:val="00E94BAD"/>
    <w:rsid w:val="00E94BF1"/>
    <w:rsid w:val="00E94C9D"/>
    <w:rsid w:val="00E94CC5"/>
    <w:rsid w:val="00E94DFD"/>
    <w:rsid w:val="00E94F7B"/>
    <w:rsid w:val="00E951B8"/>
    <w:rsid w:val="00E959FA"/>
    <w:rsid w:val="00E95EE8"/>
    <w:rsid w:val="00E95F66"/>
    <w:rsid w:val="00E96123"/>
    <w:rsid w:val="00E96ACB"/>
    <w:rsid w:val="00E9769D"/>
    <w:rsid w:val="00E97959"/>
    <w:rsid w:val="00E97A13"/>
    <w:rsid w:val="00E97C7C"/>
    <w:rsid w:val="00E97FE1"/>
    <w:rsid w:val="00EA08D1"/>
    <w:rsid w:val="00EA0D9D"/>
    <w:rsid w:val="00EA0E27"/>
    <w:rsid w:val="00EA0E78"/>
    <w:rsid w:val="00EA169A"/>
    <w:rsid w:val="00EA22B3"/>
    <w:rsid w:val="00EA24A1"/>
    <w:rsid w:val="00EA2A33"/>
    <w:rsid w:val="00EA2A67"/>
    <w:rsid w:val="00EA2BF5"/>
    <w:rsid w:val="00EA2EFA"/>
    <w:rsid w:val="00EA2F49"/>
    <w:rsid w:val="00EA34BA"/>
    <w:rsid w:val="00EA356B"/>
    <w:rsid w:val="00EA3612"/>
    <w:rsid w:val="00EA3656"/>
    <w:rsid w:val="00EA3A2D"/>
    <w:rsid w:val="00EA3A34"/>
    <w:rsid w:val="00EA3DAD"/>
    <w:rsid w:val="00EA3DF2"/>
    <w:rsid w:val="00EA455D"/>
    <w:rsid w:val="00EA48FE"/>
    <w:rsid w:val="00EA4B33"/>
    <w:rsid w:val="00EA4C77"/>
    <w:rsid w:val="00EA5003"/>
    <w:rsid w:val="00EA5454"/>
    <w:rsid w:val="00EA565D"/>
    <w:rsid w:val="00EA5661"/>
    <w:rsid w:val="00EA56F2"/>
    <w:rsid w:val="00EA5805"/>
    <w:rsid w:val="00EA5969"/>
    <w:rsid w:val="00EA5FB1"/>
    <w:rsid w:val="00EA60CA"/>
    <w:rsid w:val="00EA63AF"/>
    <w:rsid w:val="00EA6665"/>
    <w:rsid w:val="00EA67F3"/>
    <w:rsid w:val="00EA6908"/>
    <w:rsid w:val="00EA6C71"/>
    <w:rsid w:val="00EA6D32"/>
    <w:rsid w:val="00EA6D50"/>
    <w:rsid w:val="00EA71DC"/>
    <w:rsid w:val="00EA7405"/>
    <w:rsid w:val="00EA76E1"/>
    <w:rsid w:val="00EA77BF"/>
    <w:rsid w:val="00EA7CB8"/>
    <w:rsid w:val="00EB0152"/>
    <w:rsid w:val="00EB03FA"/>
    <w:rsid w:val="00EB0576"/>
    <w:rsid w:val="00EB0852"/>
    <w:rsid w:val="00EB08B6"/>
    <w:rsid w:val="00EB09BB"/>
    <w:rsid w:val="00EB0FE4"/>
    <w:rsid w:val="00EB10D0"/>
    <w:rsid w:val="00EB13D4"/>
    <w:rsid w:val="00EB15F8"/>
    <w:rsid w:val="00EB17D4"/>
    <w:rsid w:val="00EB1BA2"/>
    <w:rsid w:val="00EB1C32"/>
    <w:rsid w:val="00EB1C87"/>
    <w:rsid w:val="00EB1DD2"/>
    <w:rsid w:val="00EB204B"/>
    <w:rsid w:val="00EB259B"/>
    <w:rsid w:val="00EB285E"/>
    <w:rsid w:val="00EB297A"/>
    <w:rsid w:val="00EB29C1"/>
    <w:rsid w:val="00EB2AE0"/>
    <w:rsid w:val="00EB2DDD"/>
    <w:rsid w:val="00EB2F49"/>
    <w:rsid w:val="00EB2F81"/>
    <w:rsid w:val="00EB321F"/>
    <w:rsid w:val="00EB359B"/>
    <w:rsid w:val="00EB378D"/>
    <w:rsid w:val="00EB39A0"/>
    <w:rsid w:val="00EB3C75"/>
    <w:rsid w:val="00EB3E1C"/>
    <w:rsid w:val="00EB3F5D"/>
    <w:rsid w:val="00EB4069"/>
    <w:rsid w:val="00EB41E8"/>
    <w:rsid w:val="00EB45E0"/>
    <w:rsid w:val="00EB47B2"/>
    <w:rsid w:val="00EB47F2"/>
    <w:rsid w:val="00EB4A3F"/>
    <w:rsid w:val="00EB4B40"/>
    <w:rsid w:val="00EB4E0A"/>
    <w:rsid w:val="00EB4ED2"/>
    <w:rsid w:val="00EB5512"/>
    <w:rsid w:val="00EB55CC"/>
    <w:rsid w:val="00EB5647"/>
    <w:rsid w:val="00EB5715"/>
    <w:rsid w:val="00EB57B4"/>
    <w:rsid w:val="00EB59D4"/>
    <w:rsid w:val="00EB5A6C"/>
    <w:rsid w:val="00EB5B02"/>
    <w:rsid w:val="00EB602C"/>
    <w:rsid w:val="00EB62A9"/>
    <w:rsid w:val="00EB67DC"/>
    <w:rsid w:val="00EB6918"/>
    <w:rsid w:val="00EB6C60"/>
    <w:rsid w:val="00EB6DE5"/>
    <w:rsid w:val="00EB7050"/>
    <w:rsid w:val="00EB73F5"/>
    <w:rsid w:val="00EB7542"/>
    <w:rsid w:val="00EB75B0"/>
    <w:rsid w:val="00EB7605"/>
    <w:rsid w:val="00EC0414"/>
    <w:rsid w:val="00EC0417"/>
    <w:rsid w:val="00EC086C"/>
    <w:rsid w:val="00EC089C"/>
    <w:rsid w:val="00EC09D5"/>
    <w:rsid w:val="00EC0A2A"/>
    <w:rsid w:val="00EC10F2"/>
    <w:rsid w:val="00EC170F"/>
    <w:rsid w:val="00EC18E1"/>
    <w:rsid w:val="00EC1B5F"/>
    <w:rsid w:val="00EC1D6F"/>
    <w:rsid w:val="00EC241A"/>
    <w:rsid w:val="00EC2480"/>
    <w:rsid w:val="00EC276F"/>
    <w:rsid w:val="00EC284B"/>
    <w:rsid w:val="00EC287E"/>
    <w:rsid w:val="00EC2E54"/>
    <w:rsid w:val="00EC2EA6"/>
    <w:rsid w:val="00EC2EE7"/>
    <w:rsid w:val="00EC39A8"/>
    <w:rsid w:val="00EC3BE9"/>
    <w:rsid w:val="00EC3BF5"/>
    <w:rsid w:val="00EC3F12"/>
    <w:rsid w:val="00EC401D"/>
    <w:rsid w:val="00EC4277"/>
    <w:rsid w:val="00EC46E8"/>
    <w:rsid w:val="00EC48AD"/>
    <w:rsid w:val="00EC499B"/>
    <w:rsid w:val="00EC49BD"/>
    <w:rsid w:val="00EC521B"/>
    <w:rsid w:val="00EC54CB"/>
    <w:rsid w:val="00EC5587"/>
    <w:rsid w:val="00EC5670"/>
    <w:rsid w:val="00EC56FD"/>
    <w:rsid w:val="00EC57C3"/>
    <w:rsid w:val="00EC5B73"/>
    <w:rsid w:val="00EC5C75"/>
    <w:rsid w:val="00EC5CB7"/>
    <w:rsid w:val="00EC5EEA"/>
    <w:rsid w:val="00EC5FBE"/>
    <w:rsid w:val="00EC5FDF"/>
    <w:rsid w:val="00EC6106"/>
    <w:rsid w:val="00EC639B"/>
    <w:rsid w:val="00EC63C6"/>
    <w:rsid w:val="00EC66EA"/>
    <w:rsid w:val="00EC670C"/>
    <w:rsid w:val="00EC6820"/>
    <w:rsid w:val="00EC68BE"/>
    <w:rsid w:val="00EC6E3D"/>
    <w:rsid w:val="00EC7403"/>
    <w:rsid w:val="00EC742C"/>
    <w:rsid w:val="00EC74E6"/>
    <w:rsid w:val="00EC7AC3"/>
    <w:rsid w:val="00EC7EF6"/>
    <w:rsid w:val="00ED05E0"/>
    <w:rsid w:val="00ED0642"/>
    <w:rsid w:val="00ED08BB"/>
    <w:rsid w:val="00ED0D91"/>
    <w:rsid w:val="00ED1053"/>
    <w:rsid w:val="00ED1195"/>
    <w:rsid w:val="00ED1646"/>
    <w:rsid w:val="00ED166D"/>
    <w:rsid w:val="00ED1740"/>
    <w:rsid w:val="00ED18A9"/>
    <w:rsid w:val="00ED18B6"/>
    <w:rsid w:val="00ED1A62"/>
    <w:rsid w:val="00ED21FC"/>
    <w:rsid w:val="00ED2203"/>
    <w:rsid w:val="00ED22AF"/>
    <w:rsid w:val="00ED2591"/>
    <w:rsid w:val="00ED25E7"/>
    <w:rsid w:val="00ED26BE"/>
    <w:rsid w:val="00ED26EE"/>
    <w:rsid w:val="00ED2CD5"/>
    <w:rsid w:val="00ED31EF"/>
    <w:rsid w:val="00ED3A41"/>
    <w:rsid w:val="00ED3D01"/>
    <w:rsid w:val="00ED3E71"/>
    <w:rsid w:val="00ED4259"/>
    <w:rsid w:val="00ED430F"/>
    <w:rsid w:val="00ED4368"/>
    <w:rsid w:val="00ED4544"/>
    <w:rsid w:val="00ED45F8"/>
    <w:rsid w:val="00ED463F"/>
    <w:rsid w:val="00ED4BA3"/>
    <w:rsid w:val="00ED4C0C"/>
    <w:rsid w:val="00ED4C6E"/>
    <w:rsid w:val="00ED4D3A"/>
    <w:rsid w:val="00ED4FCD"/>
    <w:rsid w:val="00ED5021"/>
    <w:rsid w:val="00ED5089"/>
    <w:rsid w:val="00ED5335"/>
    <w:rsid w:val="00ED5996"/>
    <w:rsid w:val="00ED5B7C"/>
    <w:rsid w:val="00ED5CE9"/>
    <w:rsid w:val="00ED5D2D"/>
    <w:rsid w:val="00ED62E2"/>
    <w:rsid w:val="00ED645C"/>
    <w:rsid w:val="00ED6697"/>
    <w:rsid w:val="00ED66F4"/>
    <w:rsid w:val="00ED6722"/>
    <w:rsid w:val="00ED6A29"/>
    <w:rsid w:val="00ED6AA9"/>
    <w:rsid w:val="00ED6C93"/>
    <w:rsid w:val="00ED6E29"/>
    <w:rsid w:val="00ED71CD"/>
    <w:rsid w:val="00ED725A"/>
    <w:rsid w:val="00ED7695"/>
    <w:rsid w:val="00ED7997"/>
    <w:rsid w:val="00ED79A0"/>
    <w:rsid w:val="00ED7A59"/>
    <w:rsid w:val="00ED7B75"/>
    <w:rsid w:val="00ED7E50"/>
    <w:rsid w:val="00ED7F0F"/>
    <w:rsid w:val="00EE0038"/>
    <w:rsid w:val="00EE00B2"/>
    <w:rsid w:val="00EE012D"/>
    <w:rsid w:val="00EE044C"/>
    <w:rsid w:val="00EE0663"/>
    <w:rsid w:val="00EE0B88"/>
    <w:rsid w:val="00EE1708"/>
    <w:rsid w:val="00EE1825"/>
    <w:rsid w:val="00EE187D"/>
    <w:rsid w:val="00EE1B92"/>
    <w:rsid w:val="00EE1DBF"/>
    <w:rsid w:val="00EE1FDE"/>
    <w:rsid w:val="00EE265F"/>
    <w:rsid w:val="00EE2A30"/>
    <w:rsid w:val="00EE2B23"/>
    <w:rsid w:val="00EE2BA6"/>
    <w:rsid w:val="00EE30F5"/>
    <w:rsid w:val="00EE31F0"/>
    <w:rsid w:val="00EE3367"/>
    <w:rsid w:val="00EE35A6"/>
    <w:rsid w:val="00EE36A4"/>
    <w:rsid w:val="00EE3B79"/>
    <w:rsid w:val="00EE3DEF"/>
    <w:rsid w:val="00EE3E08"/>
    <w:rsid w:val="00EE3E53"/>
    <w:rsid w:val="00EE3F0B"/>
    <w:rsid w:val="00EE3F13"/>
    <w:rsid w:val="00EE417F"/>
    <w:rsid w:val="00EE41B2"/>
    <w:rsid w:val="00EE4B7C"/>
    <w:rsid w:val="00EE4BA2"/>
    <w:rsid w:val="00EE4C9E"/>
    <w:rsid w:val="00EE4E0E"/>
    <w:rsid w:val="00EE4F5E"/>
    <w:rsid w:val="00EE4FCA"/>
    <w:rsid w:val="00EE500F"/>
    <w:rsid w:val="00EE527B"/>
    <w:rsid w:val="00EE529A"/>
    <w:rsid w:val="00EE53A0"/>
    <w:rsid w:val="00EE53A5"/>
    <w:rsid w:val="00EE54BD"/>
    <w:rsid w:val="00EE54C2"/>
    <w:rsid w:val="00EE5519"/>
    <w:rsid w:val="00EE5830"/>
    <w:rsid w:val="00EE5A06"/>
    <w:rsid w:val="00EE5CC1"/>
    <w:rsid w:val="00EE60B0"/>
    <w:rsid w:val="00EE60B9"/>
    <w:rsid w:val="00EE60EE"/>
    <w:rsid w:val="00EE6357"/>
    <w:rsid w:val="00EE6755"/>
    <w:rsid w:val="00EE68AE"/>
    <w:rsid w:val="00EE69E3"/>
    <w:rsid w:val="00EE6B44"/>
    <w:rsid w:val="00EE6E88"/>
    <w:rsid w:val="00EE6F92"/>
    <w:rsid w:val="00EE7281"/>
    <w:rsid w:val="00EE7289"/>
    <w:rsid w:val="00EE735B"/>
    <w:rsid w:val="00EE7418"/>
    <w:rsid w:val="00EE7482"/>
    <w:rsid w:val="00EE751C"/>
    <w:rsid w:val="00EE7652"/>
    <w:rsid w:val="00EE7E22"/>
    <w:rsid w:val="00EF011F"/>
    <w:rsid w:val="00EF0219"/>
    <w:rsid w:val="00EF045D"/>
    <w:rsid w:val="00EF064E"/>
    <w:rsid w:val="00EF09EC"/>
    <w:rsid w:val="00EF0D5D"/>
    <w:rsid w:val="00EF159E"/>
    <w:rsid w:val="00EF15BD"/>
    <w:rsid w:val="00EF173D"/>
    <w:rsid w:val="00EF1A00"/>
    <w:rsid w:val="00EF1A4C"/>
    <w:rsid w:val="00EF2479"/>
    <w:rsid w:val="00EF2878"/>
    <w:rsid w:val="00EF2931"/>
    <w:rsid w:val="00EF2B16"/>
    <w:rsid w:val="00EF3402"/>
    <w:rsid w:val="00EF34FB"/>
    <w:rsid w:val="00EF359D"/>
    <w:rsid w:val="00EF3708"/>
    <w:rsid w:val="00EF37EA"/>
    <w:rsid w:val="00EF3896"/>
    <w:rsid w:val="00EF3918"/>
    <w:rsid w:val="00EF396F"/>
    <w:rsid w:val="00EF3A81"/>
    <w:rsid w:val="00EF3CB7"/>
    <w:rsid w:val="00EF3F26"/>
    <w:rsid w:val="00EF40EA"/>
    <w:rsid w:val="00EF43F2"/>
    <w:rsid w:val="00EF4580"/>
    <w:rsid w:val="00EF45E4"/>
    <w:rsid w:val="00EF46B0"/>
    <w:rsid w:val="00EF46B3"/>
    <w:rsid w:val="00EF4B68"/>
    <w:rsid w:val="00EF4E88"/>
    <w:rsid w:val="00EF50F6"/>
    <w:rsid w:val="00EF56B1"/>
    <w:rsid w:val="00EF585F"/>
    <w:rsid w:val="00EF5F13"/>
    <w:rsid w:val="00EF6469"/>
    <w:rsid w:val="00EF64D4"/>
    <w:rsid w:val="00EF64ED"/>
    <w:rsid w:val="00EF6548"/>
    <w:rsid w:val="00EF6698"/>
    <w:rsid w:val="00EF6B7D"/>
    <w:rsid w:val="00EF6C66"/>
    <w:rsid w:val="00EF7235"/>
    <w:rsid w:val="00EF7365"/>
    <w:rsid w:val="00EF7946"/>
    <w:rsid w:val="00EF7E1B"/>
    <w:rsid w:val="00EF7E92"/>
    <w:rsid w:val="00EF7E9D"/>
    <w:rsid w:val="00F0021C"/>
    <w:rsid w:val="00F002D2"/>
    <w:rsid w:val="00F00336"/>
    <w:rsid w:val="00F007E9"/>
    <w:rsid w:val="00F0083E"/>
    <w:rsid w:val="00F00844"/>
    <w:rsid w:val="00F00A5E"/>
    <w:rsid w:val="00F0107D"/>
    <w:rsid w:val="00F01125"/>
    <w:rsid w:val="00F012F5"/>
    <w:rsid w:val="00F014AC"/>
    <w:rsid w:val="00F0154A"/>
    <w:rsid w:val="00F01584"/>
    <w:rsid w:val="00F01C85"/>
    <w:rsid w:val="00F01D23"/>
    <w:rsid w:val="00F01EC7"/>
    <w:rsid w:val="00F0206C"/>
    <w:rsid w:val="00F0222D"/>
    <w:rsid w:val="00F028AC"/>
    <w:rsid w:val="00F02928"/>
    <w:rsid w:val="00F02F40"/>
    <w:rsid w:val="00F0301F"/>
    <w:rsid w:val="00F035F1"/>
    <w:rsid w:val="00F037C1"/>
    <w:rsid w:val="00F0384E"/>
    <w:rsid w:val="00F03AAE"/>
    <w:rsid w:val="00F03D8E"/>
    <w:rsid w:val="00F03F35"/>
    <w:rsid w:val="00F0488F"/>
    <w:rsid w:val="00F04B24"/>
    <w:rsid w:val="00F050A3"/>
    <w:rsid w:val="00F05171"/>
    <w:rsid w:val="00F060C1"/>
    <w:rsid w:val="00F065E4"/>
    <w:rsid w:val="00F06868"/>
    <w:rsid w:val="00F06E1A"/>
    <w:rsid w:val="00F07080"/>
    <w:rsid w:val="00F073EE"/>
    <w:rsid w:val="00F074C0"/>
    <w:rsid w:val="00F07792"/>
    <w:rsid w:val="00F07BB1"/>
    <w:rsid w:val="00F07FF4"/>
    <w:rsid w:val="00F103B8"/>
    <w:rsid w:val="00F10527"/>
    <w:rsid w:val="00F10613"/>
    <w:rsid w:val="00F10654"/>
    <w:rsid w:val="00F10A43"/>
    <w:rsid w:val="00F10E4C"/>
    <w:rsid w:val="00F1138D"/>
    <w:rsid w:val="00F11CFE"/>
    <w:rsid w:val="00F11EDE"/>
    <w:rsid w:val="00F11F33"/>
    <w:rsid w:val="00F12012"/>
    <w:rsid w:val="00F1215E"/>
    <w:rsid w:val="00F12355"/>
    <w:rsid w:val="00F123ED"/>
    <w:rsid w:val="00F125C7"/>
    <w:rsid w:val="00F125F7"/>
    <w:rsid w:val="00F129AD"/>
    <w:rsid w:val="00F12B71"/>
    <w:rsid w:val="00F12DAE"/>
    <w:rsid w:val="00F12E4B"/>
    <w:rsid w:val="00F134AE"/>
    <w:rsid w:val="00F1355C"/>
    <w:rsid w:val="00F135F4"/>
    <w:rsid w:val="00F13757"/>
    <w:rsid w:val="00F1383E"/>
    <w:rsid w:val="00F138A9"/>
    <w:rsid w:val="00F13EB0"/>
    <w:rsid w:val="00F140A9"/>
    <w:rsid w:val="00F141E5"/>
    <w:rsid w:val="00F1446C"/>
    <w:rsid w:val="00F14600"/>
    <w:rsid w:val="00F14C72"/>
    <w:rsid w:val="00F14C8D"/>
    <w:rsid w:val="00F14FDF"/>
    <w:rsid w:val="00F152B8"/>
    <w:rsid w:val="00F15842"/>
    <w:rsid w:val="00F15BB0"/>
    <w:rsid w:val="00F15C12"/>
    <w:rsid w:val="00F15D80"/>
    <w:rsid w:val="00F15F18"/>
    <w:rsid w:val="00F1628A"/>
    <w:rsid w:val="00F16292"/>
    <w:rsid w:val="00F162E1"/>
    <w:rsid w:val="00F16681"/>
    <w:rsid w:val="00F16766"/>
    <w:rsid w:val="00F169D5"/>
    <w:rsid w:val="00F16E51"/>
    <w:rsid w:val="00F16F32"/>
    <w:rsid w:val="00F1772B"/>
    <w:rsid w:val="00F177B0"/>
    <w:rsid w:val="00F17B3C"/>
    <w:rsid w:val="00F17D26"/>
    <w:rsid w:val="00F17DFD"/>
    <w:rsid w:val="00F200EA"/>
    <w:rsid w:val="00F20103"/>
    <w:rsid w:val="00F20AE9"/>
    <w:rsid w:val="00F20C66"/>
    <w:rsid w:val="00F20D22"/>
    <w:rsid w:val="00F212FE"/>
    <w:rsid w:val="00F213AE"/>
    <w:rsid w:val="00F213FE"/>
    <w:rsid w:val="00F2159A"/>
    <w:rsid w:val="00F215EA"/>
    <w:rsid w:val="00F215F6"/>
    <w:rsid w:val="00F21657"/>
    <w:rsid w:val="00F218FC"/>
    <w:rsid w:val="00F21900"/>
    <w:rsid w:val="00F2194A"/>
    <w:rsid w:val="00F21B5E"/>
    <w:rsid w:val="00F21CAC"/>
    <w:rsid w:val="00F220A7"/>
    <w:rsid w:val="00F22842"/>
    <w:rsid w:val="00F22A4B"/>
    <w:rsid w:val="00F231D5"/>
    <w:rsid w:val="00F23490"/>
    <w:rsid w:val="00F239B9"/>
    <w:rsid w:val="00F23B8B"/>
    <w:rsid w:val="00F23E64"/>
    <w:rsid w:val="00F244C3"/>
    <w:rsid w:val="00F24611"/>
    <w:rsid w:val="00F247A2"/>
    <w:rsid w:val="00F24F6E"/>
    <w:rsid w:val="00F25629"/>
    <w:rsid w:val="00F26604"/>
    <w:rsid w:val="00F266C3"/>
    <w:rsid w:val="00F2717C"/>
    <w:rsid w:val="00F27209"/>
    <w:rsid w:val="00F272A9"/>
    <w:rsid w:val="00F27501"/>
    <w:rsid w:val="00F275FA"/>
    <w:rsid w:val="00F2762B"/>
    <w:rsid w:val="00F278B5"/>
    <w:rsid w:val="00F279E6"/>
    <w:rsid w:val="00F3012D"/>
    <w:rsid w:val="00F3034D"/>
    <w:rsid w:val="00F30471"/>
    <w:rsid w:val="00F30472"/>
    <w:rsid w:val="00F30766"/>
    <w:rsid w:val="00F308E8"/>
    <w:rsid w:val="00F30CB6"/>
    <w:rsid w:val="00F30EEF"/>
    <w:rsid w:val="00F3109F"/>
    <w:rsid w:val="00F31143"/>
    <w:rsid w:val="00F316EB"/>
    <w:rsid w:val="00F31823"/>
    <w:rsid w:val="00F3237B"/>
    <w:rsid w:val="00F32A76"/>
    <w:rsid w:val="00F331B7"/>
    <w:rsid w:val="00F3381C"/>
    <w:rsid w:val="00F33867"/>
    <w:rsid w:val="00F33910"/>
    <w:rsid w:val="00F33B26"/>
    <w:rsid w:val="00F33C1F"/>
    <w:rsid w:val="00F33DE9"/>
    <w:rsid w:val="00F3416A"/>
    <w:rsid w:val="00F341D3"/>
    <w:rsid w:val="00F342D7"/>
    <w:rsid w:val="00F343EE"/>
    <w:rsid w:val="00F3471A"/>
    <w:rsid w:val="00F34BD3"/>
    <w:rsid w:val="00F34D30"/>
    <w:rsid w:val="00F35114"/>
    <w:rsid w:val="00F35419"/>
    <w:rsid w:val="00F355D8"/>
    <w:rsid w:val="00F35BF0"/>
    <w:rsid w:val="00F35E1A"/>
    <w:rsid w:val="00F35FCD"/>
    <w:rsid w:val="00F3606D"/>
    <w:rsid w:val="00F3613E"/>
    <w:rsid w:val="00F3617A"/>
    <w:rsid w:val="00F36AB4"/>
    <w:rsid w:val="00F36EE8"/>
    <w:rsid w:val="00F370EC"/>
    <w:rsid w:val="00F370FB"/>
    <w:rsid w:val="00F37269"/>
    <w:rsid w:val="00F3736D"/>
    <w:rsid w:val="00F3756B"/>
    <w:rsid w:val="00F37770"/>
    <w:rsid w:val="00F37DD4"/>
    <w:rsid w:val="00F402DB"/>
    <w:rsid w:val="00F402FB"/>
    <w:rsid w:val="00F40368"/>
    <w:rsid w:val="00F40427"/>
    <w:rsid w:val="00F40542"/>
    <w:rsid w:val="00F406DF"/>
    <w:rsid w:val="00F40851"/>
    <w:rsid w:val="00F408FB"/>
    <w:rsid w:val="00F4095C"/>
    <w:rsid w:val="00F40AED"/>
    <w:rsid w:val="00F40F40"/>
    <w:rsid w:val="00F414B4"/>
    <w:rsid w:val="00F41689"/>
    <w:rsid w:val="00F418AB"/>
    <w:rsid w:val="00F41957"/>
    <w:rsid w:val="00F41A10"/>
    <w:rsid w:val="00F41D2D"/>
    <w:rsid w:val="00F41DFD"/>
    <w:rsid w:val="00F420B0"/>
    <w:rsid w:val="00F42269"/>
    <w:rsid w:val="00F42363"/>
    <w:rsid w:val="00F423F1"/>
    <w:rsid w:val="00F42B46"/>
    <w:rsid w:val="00F42EA3"/>
    <w:rsid w:val="00F43204"/>
    <w:rsid w:val="00F43379"/>
    <w:rsid w:val="00F433F2"/>
    <w:rsid w:val="00F43603"/>
    <w:rsid w:val="00F43608"/>
    <w:rsid w:val="00F438B5"/>
    <w:rsid w:val="00F438F8"/>
    <w:rsid w:val="00F43A8A"/>
    <w:rsid w:val="00F43E76"/>
    <w:rsid w:val="00F43F23"/>
    <w:rsid w:val="00F44507"/>
    <w:rsid w:val="00F44702"/>
    <w:rsid w:val="00F447E9"/>
    <w:rsid w:val="00F44C2E"/>
    <w:rsid w:val="00F4524A"/>
    <w:rsid w:val="00F45676"/>
    <w:rsid w:val="00F456E6"/>
    <w:rsid w:val="00F45A03"/>
    <w:rsid w:val="00F45CBF"/>
    <w:rsid w:val="00F45D49"/>
    <w:rsid w:val="00F45FA5"/>
    <w:rsid w:val="00F45FC6"/>
    <w:rsid w:val="00F46057"/>
    <w:rsid w:val="00F4619C"/>
    <w:rsid w:val="00F46785"/>
    <w:rsid w:val="00F46A9D"/>
    <w:rsid w:val="00F46C20"/>
    <w:rsid w:val="00F46CF0"/>
    <w:rsid w:val="00F46FB4"/>
    <w:rsid w:val="00F4740C"/>
    <w:rsid w:val="00F476A3"/>
    <w:rsid w:val="00F50017"/>
    <w:rsid w:val="00F500B4"/>
    <w:rsid w:val="00F50218"/>
    <w:rsid w:val="00F507E0"/>
    <w:rsid w:val="00F509D3"/>
    <w:rsid w:val="00F510D5"/>
    <w:rsid w:val="00F51343"/>
    <w:rsid w:val="00F513A6"/>
    <w:rsid w:val="00F51452"/>
    <w:rsid w:val="00F51464"/>
    <w:rsid w:val="00F517F0"/>
    <w:rsid w:val="00F51991"/>
    <w:rsid w:val="00F519C7"/>
    <w:rsid w:val="00F51D2C"/>
    <w:rsid w:val="00F51D74"/>
    <w:rsid w:val="00F52159"/>
    <w:rsid w:val="00F5242C"/>
    <w:rsid w:val="00F52623"/>
    <w:rsid w:val="00F52865"/>
    <w:rsid w:val="00F52947"/>
    <w:rsid w:val="00F52C50"/>
    <w:rsid w:val="00F52CB5"/>
    <w:rsid w:val="00F52E76"/>
    <w:rsid w:val="00F53218"/>
    <w:rsid w:val="00F53309"/>
    <w:rsid w:val="00F5349F"/>
    <w:rsid w:val="00F53AB1"/>
    <w:rsid w:val="00F53AF1"/>
    <w:rsid w:val="00F53DCE"/>
    <w:rsid w:val="00F5403E"/>
    <w:rsid w:val="00F545AE"/>
    <w:rsid w:val="00F5480C"/>
    <w:rsid w:val="00F54BD4"/>
    <w:rsid w:val="00F54D87"/>
    <w:rsid w:val="00F54D99"/>
    <w:rsid w:val="00F54E85"/>
    <w:rsid w:val="00F55252"/>
    <w:rsid w:val="00F55282"/>
    <w:rsid w:val="00F5563B"/>
    <w:rsid w:val="00F557E5"/>
    <w:rsid w:val="00F558F9"/>
    <w:rsid w:val="00F559B8"/>
    <w:rsid w:val="00F55A2D"/>
    <w:rsid w:val="00F55ED6"/>
    <w:rsid w:val="00F55FBF"/>
    <w:rsid w:val="00F561FA"/>
    <w:rsid w:val="00F56239"/>
    <w:rsid w:val="00F56245"/>
    <w:rsid w:val="00F5638E"/>
    <w:rsid w:val="00F5646B"/>
    <w:rsid w:val="00F56556"/>
    <w:rsid w:val="00F565C2"/>
    <w:rsid w:val="00F56659"/>
    <w:rsid w:val="00F56725"/>
    <w:rsid w:val="00F56AD2"/>
    <w:rsid w:val="00F56AD3"/>
    <w:rsid w:val="00F56B9A"/>
    <w:rsid w:val="00F56D68"/>
    <w:rsid w:val="00F5716F"/>
    <w:rsid w:val="00F576C4"/>
    <w:rsid w:val="00F57A24"/>
    <w:rsid w:val="00F57A8F"/>
    <w:rsid w:val="00F57C38"/>
    <w:rsid w:val="00F60436"/>
    <w:rsid w:val="00F604BB"/>
    <w:rsid w:val="00F60ACE"/>
    <w:rsid w:val="00F612A6"/>
    <w:rsid w:val="00F61816"/>
    <w:rsid w:val="00F61868"/>
    <w:rsid w:val="00F6193C"/>
    <w:rsid w:val="00F61A7B"/>
    <w:rsid w:val="00F620CB"/>
    <w:rsid w:val="00F62466"/>
    <w:rsid w:val="00F62868"/>
    <w:rsid w:val="00F62B30"/>
    <w:rsid w:val="00F62FAF"/>
    <w:rsid w:val="00F633E8"/>
    <w:rsid w:val="00F6354E"/>
    <w:rsid w:val="00F63706"/>
    <w:rsid w:val="00F63B57"/>
    <w:rsid w:val="00F63DAE"/>
    <w:rsid w:val="00F63E86"/>
    <w:rsid w:val="00F63EB4"/>
    <w:rsid w:val="00F64885"/>
    <w:rsid w:val="00F64B00"/>
    <w:rsid w:val="00F64C6E"/>
    <w:rsid w:val="00F64D0C"/>
    <w:rsid w:val="00F64E13"/>
    <w:rsid w:val="00F65057"/>
    <w:rsid w:val="00F652AD"/>
    <w:rsid w:val="00F6546B"/>
    <w:rsid w:val="00F6548C"/>
    <w:rsid w:val="00F65BBB"/>
    <w:rsid w:val="00F65BF6"/>
    <w:rsid w:val="00F65CAB"/>
    <w:rsid w:val="00F662F2"/>
    <w:rsid w:val="00F66339"/>
    <w:rsid w:val="00F66C27"/>
    <w:rsid w:val="00F67209"/>
    <w:rsid w:val="00F67401"/>
    <w:rsid w:val="00F67C28"/>
    <w:rsid w:val="00F67D63"/>
    <w:rsid w:val="00F702A5"/>
    <w:rsid w:val="00F704E0"/>
    <w:rsid w:val="00F7082D"/>
    <w:rsid w:val="00F709F0"/>
    <w:rsid w:val="00F70AAF"/>
    <w:rsid w:val="00F70EE7"/>
    <w:rsid w:val="00F70F50"/>
    <w:rsid w:val="00F70F91"/>
    <w:rsid w:val="00F7141D"/>
    <w:rsid w:val="00F71423"/>
    <w:rsid w:val="00F7146D"/>
    <w:rsid w:val="00F71868"/>
    <w:rsid w:val="00F71B24"/>
    <w:rsid w:val="00F71B73"/>
    <w:rsid w:val="00F726CC"/>
    <w:rsid w:val="00F729E2"/>
    <w:rsid w:val="00F72C0F"/>
    <w:rsid w:val="00F731A8"/>
    <w:rsid w:val="00F7346F"/>
    <w:rsid w:val="00F73662"/>
    <w:rsid w:val="00F73C30"/>
    <w:rsid w:val="00F7407B"/>
    <w:rsid w:val="00F742AC"/>
    <w:rsid w:val="00F743D9"/>
    <w:rsid w:val="00F74492"/>
    <w:rsid w:val="00F74709"/>
    <w:rsid w:val="00F74A70"/>
    <w:rsid w:val="00F74D80"/>
    <w:rsid w:val="00F74DC7"/>
    <w:rsid w:val="00F75259"/>
    <w:rsid w:val="00F75411"/>
    <w:rsid w:val="00F758B8"/>
    <w:rsid w:val="00F75B51"/>
    <w:rsid w:val="00F75B74"/>
    <w:rsid w:val="00F75D96"/>
    <w:rsid w:val="00F75E2F"/>
    <w:rsid w:val="00F76A63"/>
    <w:rsid w:val="00F76BB1"/>
    <w:rsid w:val="00F76F1F"/>
    <w:rsid w:val="00F7700E"/>
    <w:rsid w:val="00F77115"/>
    <w:rsid w:val="00F7769B"/>
    <w:rsid w:val="00F77976"/>
    <w:rsid w:val="00F77E56"/>
    <w:rsid w:val="00F80325"/>
    <w:rsid w:val="00F8051C"/>
    <w:rsid w:val="00F80589"/>
    <w:rsid w:val="00F806A7"/>
    <w:rsid w:val="00F808C4"/>
    <w:rsid w:val="00F809F3"/>
    <w:rsid w:val="00F80A37"/>
    <w:rsid w:val="00F80BFB"/>
    <w:rsid w:val="00F810D7"/>
    <w:rsid w:val="00F811CD"/>
    <w:rsid w:val="00F8123D"/>
    <w:rsid w:val="00F81C10"/>
    <w:rsid w:val="00F81D8A"/>
    <w:rsid w:val="00F81DE0"/>
    <w:rsid w:val="00F82173"/>
    <w:rsid w:val="00F823DC"/>
    <w:rsid w:val="00F82521"/>
    <w:rsid w:val="00F8266B"/>
    <w:rsid w:val="00F8272A"/>
    <w:rsid w:val="00F82932"/>
    <w:rsid w:val="00F82D34"/>
    <w:rsid w:val="00F82D47"/>
    <w:rsid w:val="00F8382B"/>
    <w:rsid w:val="00F83D5C"/>
    <w:rsid w:val="00F83D79"/>
    <w:rsid w:val="00F83DCC"/>
    <w:rsid w:val="00F83FAD"/>
    <w:rsid w:val="00F84048"/>
    <w:rsid w:val="00F84273"/>
    <w:rsid w:val="00F847A1"/>
    <w:rsid w:val="00F85211"/>
    <w:rsid w:val="00F8524E"/>
    <w:rsid w:val="00F852DA"/>
    <w:rsid w:val="00F8532A"/>
    <w:rsid w:val="00F85385"/>
    <w:rsid w:val="00F8548E"/>
    <w:rsid w:val="00F8572C"/>
    <w:rsid w:val="00F85F5D"/>
    <w:rsid w:val="00F85F72"/>
    <w:rsid w:val="00F86282"/>
    <w:rsid w:val="00F86415"/>
    <w:rsid w:val="00F86450"/>
    <w:rsid w:val="00F86534"/>
    <w:rsid w:val="00F86A9A"/>
    <w:rsid w:val="00F86AFE"/>
    <w:rsid w:val="00F86C3A"/>
    <w:rsid w:val="00F86C3B"/>
    <w:rsid w:val="00F86E58"/>
    <w:rsid w:val="00F87306"/>
    <w:rsid w:val="00F875A9"/>
    <w:rsid w:val="00F87C88"/>
    <w:rsid w:val="00F87C9C"/>
    <w:rsid w:val="00F87EEF"/>
    <w:rsid w:val="00F9024F"/>
    <w:rsid w:val="00F907D9"/>
    <w:rsid w:val="00F90FB6"/>
    <w:rsid w:val="00F9107D"/>
    <w:rsid w:val="00F91094"/>
    <w:rsid w:val="00F913BE"/>
    <w:rsid w:val="00F91858"/>
    <w:rsid w:val="00F91AE6"/>
    <w:rsid w:val="00F921E3"/>
    <w:rsid w:val="00F923A0"/>
    <w:rsid w:val="00F92AA5"/>
    <w:rsid w:val="00F92AEE"/>
    <w:rsid w:val="00F92B4B"/>
    <w:rsid w:val="00F92BDF"/>
    <w:rsid w:val="00F92DE7"/>
    <w:rsid w:val="00F932F7"/>
    <w:rsid w:val="00F93694"/>
    <w:rsid w:val="00F936E3"/>
    <w:rsid w:val="00F93C1A"/>
    <w:rsid w:val="00F93C49"/>
    <w:rsid w:val="00F93DD7"/>
    <w:rsid w:val="00F940D4"/>
    <w:rsid w:val="00F94235"/>
    <w:rsid w:val="00F942AB"/>
    <w:rsid w:val="00F942C3"/>
    <w:rsid w:val="00F94D0B"/>
    <w:rsid w:val="00F94F9D"/>
    <w:rsid w:val="00F950E9"/>
    <w:rsid w:val="00F95140"/>
    <w:rsid w:val="00F95403"/>
    <w:rsid w:val="00F95690"/>
    <w:rsid w:val="00F95A28"/>
    <w:rsid w:val="00F95A6E"/>
    <w:rsid w:val="00F95C5F"/>
    <w:rsid w:val="00F95FAD"/>
    <w:rsid w:val="00F9606D"/>
    <w:rsid w:val="00F96528"/>
    <w:rsid w:val="00F968CA"/>
    <w:rsid w:val="00F96C03"/>
    <w:rsid w:val="00F96E28"/>
    <w:rsid w:val="00F96E81"/>
    <w:rsid w:val="00F96EB5"/>
    <w:rsid w:val="00F976B1"/>
    <w:rsid w:val="00F9775F"/>
    <w:rsid w:val="00F9793A"/>
    <w:rsid w:val="00F97948"/>
    <w:rsid w:val="00F979E8"/>
    <w:rsid w:val="00F97C3A"/>
    <w:rsid w:val="00F97F36"/>
    <w:rsid w:val="00FA040D"/>
    <w:rsid w:val="00FA0CD9"/>
    <w:rsid w:val="00FA0D08"/>
    <w:rsid w:val="00FA1016"/>
    <w:rsid w:val="00FA10A7"/>
    <w:rsid w:val="00FA11EE"/>
    <w:rsid w:val="00FA132C"/>
    <w:rsid w:val="00FA14C8"/>
    <w:rsid w:val="00FA1712"/>
    <w:rsid w:val="00FA1AEB"/>
    <w:rsid w:val="00FA203A"/>
    <w:rsid w:val="00FA24F3"/>
    <w:rsid w:val="00FA26C1"/>
    <w:rsid w:val="00FA2982"/>
    <w:rsid w:val="00FA2AB9"/>
    <w:rsid w:val="00FA2CEA"/>
    <w:rsid w:val="00FA2F2A"/>
    <w:rsid w:val="00FA30D9"/>
    <w:rsid w:val="00FA3501"/>
    <w:rsid w:val="00FA37DC"/>
    <w:rsid w:val="00FA40C4"/>
    <w:rsid w:val="00FA4179"/>
    <w:rsid w:val="00FA41DF"/>
    <w:rsid w:val="00FA46D5"/>
    <w:rsid w:val="00FA49EC"/>
    <w:rsid w:val="00FA4A48"/>
    <w:rsid w:val="00FA4FB8"/>
    <w:rsid w:val="00FA4FB9"/>
    <w:rsid w:val="00FA5344"/>
    <w:rsid w:val="00FA540A"/>
    <w:rsid w:val="00FA5B16"/>
    <w:rsid w:val="00FA5E38"/>
    <w:rsid w:val="00FA5E49"/>
    <w:rsid w:val="00FA5E4F"/>
    <w:rsid w:val="00FA60F6"/>
    <w:rsid w:val="00FA626D"/>
    <w:rsid w:val="00FA62D3"/>
    <w:rsid w:val="00FA6422"/>
    <w:rsid w:val="00FA644B"/>
    <w:rsid w:val="00FA6646"/>
    <w:rsid w:val="00FA6657"/>
    <w:rsid w:val="00FA6802"/>
    <w:rsid w:val="00FA6C4E"/>
    <w:rsid w:val="00FA6E96"/>
    <w:rsid w:val="00FA7001"/>
    <w:rsid w:val="00FA72B3"/>
    <w:rsid w:val="00FA758E"/>
    <w:rsid w:val="00FA7A10"/>
    <w:rsid w:val="00FA7D4D"/>
    <w:rsid w:val="00FB0420"/>
    <w:rsid w:val="00FB05ED"/>
    <w:rsid w:val="00FB0746"/>
    <w:rsid w:val="00FB0829"/>
    <w:rsid w:val="00FB08FC"/>
    <w:rsid w:val="00FB0AE2"/>
    <w:rsid w:val="00FB0B41"/>
    <w:rsid w:val="00FB0C59"/>
    <w:rsid w:val="00FB1060"/>
    <w:rsid w:val="00FB160F"/>
    <w:rsid w:val="00FB176B"/>
    <w:rsid w:val="00FB18CA"/>
    <w:rsid w:val="00FB1ABB"/>
    <w:rsid w:val="00FB1C5C"/>
    <w:rsid w:val="00FB2357"/>
    <w:rsid w:val="00FB2F61"/>
    <w:rsid w:val="00FB3128"/>
    <w:rsid w:val="00FB3140"/>
    <w:rsid w:val="00FB3300"/>
    <w:rsid w:val="00FB3497"/>
    <w:rsid w:val="00FB37AC"/>
    <w:rsid w:val="00FB3B6A"/>
    <w:rsid w:val="00FB3F6B"/>
    <w:rsid w:val="00FB4887"/>
    <w:rsid w:val="00FB4A06"/>
    <w:rsid w:val="00FB4B66"/>
    <w:rsid w:val="00FB4D21"/>
    <w:rsid w:val="00FB4E0F"/>
    <w:rsid w:val="00FB4E67"/>
    <w:rsid w:val="00FB4E93"/>
    <w:rsid w:val="00FB544B"/>
    <w:rsid w:val="00FB55B8"/>
    <w:rsid w:val="00FB56B2"/>
    <w:rsid w:val="00FB5A27"/>
    <w:rsid w:val="00FB5D25"/>
    <w:rsid w:val="00FB5EE6"/>
    <w:rsid w:val="00FB61E0"/>
    <w:rsid w:val="00FB638D"/>
    <w:rsid w:val="00FB63AF"/>
    <w:rsid w:val="00FB67CA"/>
    <w:rsid w:val="00FB6B92"/>
    <w:rsid w:val="00FB6C95"/>
    <w:rsid w:val="00FB6E66"/>
    <w:rsid w:val="00FB7586"/>
    <w:rsid w:val="00FB7672"/>
    <w:rsid w:val="00FB78D7"/>
    <w:rsid w:val="00FB7FA1"/>
    <w:rsid w:val="00FC00EC"/>
    <w:rsid w:val="00FC0121"/>
    <w:rsid w:val="00FC05A4"/>
    <w:rsid w:val="00FC084B"/>
    <w:rsid w:val="00FC0C0B"/>
    <w:rsid w:val="00FC0D01"/>
    <w:rsid w:val="00FC10C8"/>
    <w:rsid w:val="00FC16C1"/>
    <w:rsid w:val="00FC198C"/>
    <w:rsid w:val="00FC19F9"/>
    <w:rsid w:val="00FC1ADC"/>
    <w:rsid w:val="00FC1E71"/>
    <w:rsid w:val="00FC1FCC"/>
    <w:rsid w:val="00FC2086"/>
    <w:rsid w:val="00FC2290"/>
    <w:rsid w:val="00FC2337"/>
    <w:rsid w:val="00FC234C"/>
    <w:rsid w:val="00FC238D"/>
    <w:rsid w:val="00FC23C2"/>
    <w:rsid w:val="00FC23D9"/>
    <w:rsid w:val="00FC23F8"/>
    <w:rsid w:val="00FC27F3"/>
    <w:rsid w:val="00FC28FD"/>
    <w:rsid w:val="00FC297B"/>
    <w:rsid w:val="00FC2B09"/>
    <w:rsid w:val="00FC2C76"/>
    <w:rsid w:val="00FC2EF1"/>
    <w:rsid w:val="00FC33FC"/>
    <w:rsid w:val="00FC3756"/>
    <w:rsid w:val="00FC39EA"/>
    <w:rsid w:val="00FC3C6C"/>
    <w:rsid w:val="00FC4052"/>
    <w:rsid w:val="00FC4628"/>
    <w:rsid w:val="00FC4983"/>
    <w:rsid w:val="00FC4B3D"/>
    <w:rsid w:val="00FC51E4"/>
    <w:rsid w:val="00FC536F"/>
    <w:rsid w:val="00FC5394"/>
    <w:rsid w:val="00FC5754"/>
    <w:rsid w:val="00FC586E"/>
    <w:rsid w:val="00FC58F5"/>
    <w:rsid w:val="00FC59C4"/>
    <w:rsid w:val="00FC5E1A"/>
    <w:rsid w:val="00FC662E"/>
    <w:rsid w:val="00FC6644"/>
    <w:rsid w:val="00FC693F"/>
    <w:rsid w:val="00FC6A5A"/>
    <w:rsid w:val="00FC6C10"/>
    <w:rsid w:val="00FC6E70"/>
    <w:rsid w:val="00FC7516"/>
    <w:rsid w:val="00FC7764"/>
    <w:rsid w:val="00FC778D"/>
    <w:rsid w:val="00FC7F16"/>
    <w:rsid w:val="00FD0345"/>
    <w:rsid w:val="00FD0544"/>
    <w:rsid w:val="00FD0838"/>
    <w:rsid w:val="00FD0916"/>
    <w:rsid w:val="00FD0B07"/>
    <w:rsid w:val="00FD0C3C"/>
    <w:rsid w:val="00FD108C"/>
    <w:rsid w:val="00FD17A6"/>
    <w:rsid w:val="00FD1AD5"/>
    <w:rsid w:val="00FD2844"/>
    <w:rsid w:val="00FD28BF"/>
    <w:rsid w:val="00FD2A5E"/>
    <w:rsid w:val="00FD2BA3"/>
    <w:rsid w:val="00FD2BBB"/>
    <w:rsid w:val="00FD2CC4"/>
    <w:rsid w:val="00FD2D46"/>
    <w:rsid w:val="00FD2EA1"/>
    <w:rsid w:val="00FD3078"/>
    <w:rsid w:val="00FD30F5"/>
    <w:rsid w:val="00FD3116"/>
    <w:rsid w:val="00FD3294"/>
    <w:rsid w:val="00FD33D2"/>
    <w:rsid w:val="00FD3448"/>
    <w:rsid w:val="00FD352C"/>
    <w:rsid w:val="00FD3544"/>
    <w:rsid w:val="00FD3769"/>
    <w:rsid w:val="00FD3809"/>
    <w:rsid w:val="00FD3F3C"/>
    <w:rsid w:val="00FD440D"/>
    <w:rsid w:val="00FD4986"/>
    <w:rsid w:val="00FD4AEE"/>
    <w:rsid w:val="00FD4B09"/>
    <w:rsid w:val="00FD4BC9"/>
    <w:rsid w:val="00FD4C67"/>
    <w:rsid w:val="00FD4E9E"/>
    <w:rsid w:val="00FD51C9"/>
    <w:rsid w:val="00FD52EA"/>
    <w:rsid w:val="00FD5372"/>
    <w:rsid w:val="00FD53A5"/>
    <w:rsid w:val="00FD5511"/>
    <w:rsid w:val="00FD5515"/>
    <w:rsid w:val="00FD5652"/>
    <w:rsid w:val="00FD595A"/>
    <w:rsid w:val="00FD5BC2"/>
    <w:rsid w:val="00FD5C6A"/>
    <w:rsid w:val="00FD5C79"/>
    <w:rsid w:val="00FD5F0A"/>
    <w:rsid w:val="00FD5F13"/>
    <w:rsid w:val="00FD5F7F"/>
    <w:rsid w:val="00FD5FAD"/>
    <w:rsid w:val="00FD5FEF"/>
    <w:rsid w:val="00FD698C"/>
    <w:rsid w:val="00FD6AB0"/>
    <w:rsid w:val="00FD6F5B"/>
    <w:rsid w:val="00FD7014"/>
    <w:rsid w:val="00FD77AF"/>
    <w:rsid w:val="00FD77B9"/>
    <w:rsid w:val="00FD795D"/>
    <w:rsid w:val="00FD7F96"/>
    <w:rsid w:val="00FE0078"/>
    <w:rsid w:val="00FE010A"/>
    <w:rsid w:val="00FE0279"/>
    <w:rsid w:val="00FE0409"/>
    <w:rsid w:val="00FE0A51"/>
    <w:rsid w:val="00FE0BE4"/>
    <w:rsid w:val="00FE0CA2"/>
    <w:rsid w:val="00FE1081"/>
    <w:rsid w:val="00FE11B8"/>
    <w:rsid w:val="00FE1A8C"/>
    <w:rsid w:val="00FE1DA7"/>
    <w:rsid w:val="00FE1E3F"/>
    <w:rsid w:val="00FE1F47"/>
    <w:rsid w:val="00FE2656"/>
    <w:rsid w:val="00FE27A8"/>
    <w:rsid w:val="00FE2E48"/>
    <w:rsid w:val="00FE3203"/>
    <w:rsid w:val="00FE3287"/>
    <w:rsid w:val="00FE37B4"/>
    <w:rsid w:val="00FE37BC"/>
    <w:rsid w:val="00FE3AC4"/>
    <w:rsid w:val="00FE3E76"/>
    <w:rsid w:val="00FE3FBA"/>
    <w:rsid w:val="00FE4155"/>
    <w:rsid w:val="00FE41DC"/>
    <w:rsid w:val="00FE421A"/>
    <w:rsid w:val="00FE42DB"/>
    <w:rsid w:val="00FE42FC"/>
    <w:rsid w:val="00FE443D"/>
    <w:rsid w:val="00FE4500"/>
    <w:rsid w:val="00FE4507"/>
    <w:rsid w:val="00FE48F0"/>
    <w:rsid w:val="00FE4969"/>
    <w:rsid w:val="00FE50C5"/>
    <w:rsid w:val="00FE527A"/>
    <w:rsid w:val="00FE54A3"/>
    <w:rsid w:val="00FE5613"/>
    <w:rsid w:val="00FE5668"/>
    <w:rsid w:val="00FE56F3"/>
    <w:rsid w:val="00FE5937"/>
    <w:rsid w:val="00FE5AB6"/>
    <w:rsid w:val="00FE5D52"/>
    <w:rsid w:val="00FE6165"/>
    <w:rsid w:val="00FE6187"/>
    <w:rsid w:val="00FE65BF"/>
    <w:rsid w:val="00FE69D0"/>
    <w:rsid w:val="00FE6A9E"/>
    <w:rsid w:val="00FE6CD9"/>
    <w:rsid w:val="00FE6EE0"/>
    <w:rsid w:val="00FE72B3"/>
    <w:rsid w:val="00FE76A4"/>
    <w:rsid w:val="00FE7887"/>
    <w:rsid w:val="00FE7AA2"/>
    <w:rsid w:val="00FE7B5F"/>
    <w:rsid w:val="00FE7BD6"/>
    <w:rsid w:val="00FE7D16"/>
    <w:rsid w:val="00FE7E34"/>
    <w:rsid w:val="00FE7F25"/>
    <w:rsid w:val="00FF0250"/>
    <w:rsid w:val="00FF0594"/>
    <w:rsid w:val="00FF160C"/>
    <w:rsid w:val="00FF17A5"/>
    <w:rsid w:val="00FF18C2"/>
    <w:rsid w:val="00FF1A99"/>
    <w:rsid w:val="00FF1DA7"/>
    <w:rsid w:val="00FF1E8E"/>
    <w:rsid w:val="00FF2028"/>
    <w:rsid w:val="00FF20EE"/>
    <w:rsid w:val="00FF22DE"/>
    <w:rsid w:val="00FF2529"/>
    <w:rsid w:val="00FF2541"/>
    <w:rsid w:val="00FF2552"/>
    <w:rsid w:val="00FF2643"/>
    <w:rsid w:val="00FF2794"/>
    <w:rsid w:val="00FF27E9"/>
    <w:rsid w:val="00FF282A"/>
    <w:rsid w:val="00FF2900"/>
    <w:rsid w:val="00FF2967"/>
    <w:rsid w:val="00FF2AF1"/>
    <w:rsid w:val="00FF2B01"/>
    <w:rsid w:val="00FF32DC"/>
    <w:rsid w:val="00FF33BD"/>
    <w:rsid w:val="00FF34DB"/>
    <w:rsid w:val="00FF3641"/>
    <w:rsid w:val="00FF371A"/>
    <w:rsid w:val="00FF3889"/>
    <w:rsid w:val="00FF38DA"/>
    <w:rsid w:val="00FF3B7E"/>
    <w:rsid w:val="00FF3CD3"/>
    <w:rsid w:val="00FF4091"/>
    <w:rsid w:val="00FF4854"/>
    <w:rsid w:val="00FF4CD3"/>
    <w:rsid w:val="00FF4EC9"/>
    <w:rsid w:val="00FF4F7B"/>
    <w:rsid w:val="00FF53FF"/>
    <w:rsid w:val="00FF547A"/>
    <w:rsid w:val="00FF56B6"/>
    <w:rsid w:val="00FF5A76"/>
    <w:rsid w:val="00FF5BBF"/>
    <w:rsid w:val="00FF5C7D"/>
    <w:rsid w:val="00FF5DA8"/>
    <w:rsid w:val="00FF6014"/>
    <w:rsid w:val="00FF69A6"/>
    <w:rsid w:val="00FF6A18"/>
    <w:rsid w:val="00FF6F07"/>
    <w:rsid w:val="00FF7111"/>
    <w:rsid w:val="00FF777A"/>
    <w:rsid w:val="00FF7884"/>
    <w:rsid w:val="00FF78D8"/>
    <w:rsid w:val="00FF7C20"/>
    <w:rsid w:val="00FF7C94"/>
    <w:rsid w:val="02E01C47"/>
    <w:rsid w:val="04E93D49"/>
    <w:rsid w:val="09D572CE"/>
    <w:rsid w:val="0A510377"/>
    <w:rsid w:val="0E3F78FA"/>
    <w:rsid w:val="0FAD7D39"/>
    <w:rsid w:val="122B4561"/>
    <w:rsid w:val="1311269A"/>
    <w:rsid w:val="151915CE"/>
    <w:rsid w:val="1CD03996"/>
    <w:rsid w:val="1DC108B9"/>
    <w:rsid w:val="279E39F2"/>
    <w:rsid w:val="288C2E20"/>
    <w:rsid w:val="28BE4A62"/>
    <w:rsid w:val="2C8A6310"/>
    <w:rsid w:val="2E4626CD"/>
    <w:rsid w:val="2ECF78B5"/>
    <w:rsid w:val="328C7D00"/>
    <w:rsid w:val="394713D0"/>
    <w:rsid w:val="39875C71"/>
    <w:rsid w:val="3A3F1455"/>
    <w:rsid w:val="3CBE7DA9"/>
    <w:rsid w:val="3CC0049F"/>
    <w:rsid w:val="3FD27F37"/>
    <w:rsid w:val="40927B10"/>
    <w:rsid w:val="415919E2"/>
    <w:rsid w:val="42A32BB8"/>
    <w:rsid w:val="44332A40"/>
    <w:rsid w:val="4860494F"/>
    <w:rsid w:val="4924317D"/>
    <w:rsid w:val="4AAD7D84"/>
    <w:rsid w:val="4C3E06D5"/>
    <w:rsid w:val="4D0E5501"/>
    <w:rsid w:val="4DF14CD4"/>
    <w:rsid w:val="4E015B9A"/>
    <w:rsid w:val="4E0F4940"/>
    <w:rsid w:val="4E465CA3"/>
    <w:rsid w:val="4FB81E9E"/>
    <w:rsid w:val="533C340E"/>
    <w:rsid w:val="53554AC7"/>
    <w:rsid w:val="53711A6D"/>
    <w:rsid w:val="54BE47E5"/>
    <w:rsid w:val="55602AD0"/>
    <w:rsid w:val="57A06F9B"/>
    <w:rsid w:val="59254C31"/>
    <w:rsid w:val="5C485AB0"/>
    <w:rsid w:val="60714E94"/>
    <w:rsid w:val="62245663"/>
    <w:rsid w:val="62DC49F3"/>
    <w:rsid w:val="62F02FBE"/>
    <w:rsid w:val="64E54D9D"/>
    <w:rsid w:val="65834544"/>
    <w:rsid w:val="69433F4E"/>
    <w:rsid w:val="6A4A0AFF"/>
    <w:rsid w:val="6A697A3B"/>
    <w:rsid w:val="6CB15AF3"/>
    <w:rsid w:val="6D2F4CBA"/>
    <w:rsid w:val="718B2EBD"/>
    <w:rsid w:val="72E23C76"/>
    <w:rsid w:val="77414717"/>
    <w:rsid w:val="79FF6B82"/>
    <w:rsid w:val="7A79764A"/>
    <w:rsid w:val="7BAF4CBF"/>
    <w:rsid w:val="7BEB5659"/>
    <w:rsid w:val="7DB16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5062E02"/>
  <w15:docId w15:val="{1F87CE07-36AA-4129-86C7-9C466DF4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宋体" w:ascii="宋体"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5F5"/>
    <w:pPr>
      <w:widowControl w:val="0"/>
      <w:spacing w:after="120" w:line="360" w:lineRule="auto"/>
    </w:pPr>
    <w:rPr>
      <w:kern w:val="2"/>
      <w:sz w:val="22"/>
      <w:szCs w:val="24"/>
      <w14:ligatures w14:val="standardContextual"/>
      <w:rFonts w:eastAsia="宋体" w:ascii="宋体" w:hAnsi="宋体" w:cs="宋体"/>
    </w:rPr>
  </w:style>
  <w:style w:type="paragraph" w:styleId="1">
    <w:name w:val="heading 1"/>
    <w:basedOn w:val="2"/>
    <w:next w:val="a"/>
    <w:link w:val="10"/>
    <w:uiPriority w:val="9"/>
    <w:qFormat/>
    <w:rsid w:val="00FD0B07"/>
    <w:pPr>
      <w:spacing w:before="480" w:after="240" w:line="360" w:lineRule="auto"/>
      <w:ind w:left="0" w:firstLine="0"/>
      <w:jc w:val="left"/>
      <w:outlineLvl w:val="0"/>
    </w:pPr>
    <w:rPr>
      <w:color w:val="1F4E79"/>
      <w:sz w:val="32"/>
      <w:szCs w:val="32"/>
      <w:rFonts w:eastAsia="黑体" w:ascii="黑体" w:hAnsi="黑体" w:cs="黑体"/>
    </w:rPr>
  </w:style>
  <w:style w:type="paragraph" w:styleId="2">
    <w:name w:val="heading 2"/>
    <w:basedOn w:val="3"/>
    <w:next w:val="a"/>
    <w:link w:val="20"/>
    <w:uiPriority w:val="9"/>
    <w:unhideWhenUsed/>
    <w:qFormat/>
    <w:rsid w:val="00406BD2"/>
    <w:pPr>
      <w:tabs>
        <w:tab w:val="left" w:pos="3261"/>
      </w:tabs>
      <w:snapToGrid w:val="0"/>
      <w:spacing w:beforeLines="50" w:before="360" w:after="120" w:line="360" w:lineRule="auto"/>
      <w:ind w:left="0" w:firstLine="0"/>
      <w:jc w:val="left"/>
      <w:outlineLvl w:val="1"/>
    </w:pPr>
    <w:rPr>
      <w:color w:val="1F4E79"/>
      <w:spacing w:val="10"/>
      <w:sz w:val="28"/>
      <w:szCs w:val="28"/>
      <w:rFonts w:eastAsia="黑体" w:ascii="黑体" w:hAnsi="黑体" w:cs="黑体"/>
    </w:rPr>
  </w:style>
  <w:style w:type="paragraph" w:styleId="3">
    <w:name w:val="heading 3"/>
    <w:basedOn w:val="a"/>
    <w:next w:val="a"/>
    <w:link w:val="30"/>
    <w:uiPriority w:val="9"/>
    <w:unhideWhenUsed/>
    <w:qFormat/>
    <w:rsid w:val="00406BD2"/>
    <w:pPr>
      <w:keepNext/>
      <w:keepLines/>
      <w:spacing w:before="240" w:after="120" w:line="360" w:lineRule="auto"/>
      <w:ind w:left="0" w:firstLine="0"/>
      <w:jc w:val="left"/>
      <w:outlineLvl w:val="2"/>
    </w:pPr>
    <w:rPr>
      <w:rFonts w:ascii="黑体" w:eastAsia="黑体" w:hAnsi="黑体" w:cs="黑体"/>
      <w:b/>
      <w:bCs/>
      <w:color w:val="1F4E79"/>
      <w:sz w:val="24"/>
    </w:rPr>
  </w:style>
  <w:style w:type="paragraph" w:styleId="4">
    <w:name w:val="heading 4"/>
    <w:basedOn w:val="a"/>
    <w:next w:val="a"/>
    <w:link w:val="40"/>
    <w:uiPriority w:val="9"/>
    <w:unhideWhenUsed/>
    <w:qFormat/>
    <w:pPr>
      <w:keepNext/>
      <w:keepLines/>
      <w:spacing w:before="180" w:after="60" w:line="360" w:lineRule="auto"/>
      <w:ind w:left="0" w:firstLine="0"/>
      <w:jc w:val="left"/>
      <w:outlineLvl w:val="3"/>
    </w:pPr>
    <w:rPr>
      <w:rFonts w:eastAsia="黑体" w:ascii="黑体" w:hAnsi="黑体" w:cs="黑体"/>
      <w:color w:val="1F4E79"/>
      <w:sz w:val="24"/>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TOC3">
    <w:name w:val="toc 3"/>
    <w:basedOn w:val="a"/>
    <w:next w:val="a"/>
    <w:autoRedefine/>
    <w:uiPriority w:val="39"/>
    <w:unhideWhenUsed/>
    <w:qFormat/>
    <w:pPr>
      <w:spacing w:before="0" w:after="0"/>
      <w:ind w:leftChars="400" w:left="840"/>
    </w:pPr>
  </w:style>
  <w:style w:type="paragraph" w:styleId="a5">
    <w:name w:val="endnote text"/>
    <w:basedOn w:val="a"/>
    <w:link w:val="a6"/>
    <w:uiPriority w:val="99"/>
    <w:semiHidden/>
    <w:unhideWhenUsed/>
    <w:qFormat/>
    <w:pPr>
      <w:snapToGrid w:val="0"/>
    </w:pPr>
  </w:style>
  <w:style w:type="paragraph" w:styleId="a7">
    <w:name w:val="Balloon Text"/>
    <w:basedOn w:val="a"/>
    <w:link w:val="a8"/>
    <w:uiPriority w:val="99"/>
    <w:semiHidden/>
    <w:unhideWhenUsed/>
    <w:qFormat/>
    <w:pPr>
      <w:spacing w:after="0"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line="240" w:lineRule="auto"/>
    </w:pPr>
    <w:rPr>
      <w:sz w:val="18"/>
      <w:szCs w:val="18"/>
    </w:rPr>
  </w:style>
  <w:style w:type="paragraph" w:styleId="ab">
    <w:name w:val="header"/>
    <w:basedOn w:val="a"/>
    <w:link w:val="ac"/>
    <w:uiPriority w:val="99"/>
    <w:unhideWhenUsed/>
    <w:qFormat/>
    <w:pP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before="120" w:after="0"/>
    </w:pPr>
  </w:style>
  <w:style w:type="paragraph" w:styleId="ad">
    <w:name w:val="Subtitle"/>
    <w:basedOn w:val="a"/>
    <w:next w:val="a"/>
    <w:link w:val="a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
    <w:name w:val="footnote text"/>
    <w:basedOn w:val="a"/>
    <w:link w:val="af0"/>
    <w:qFormat/>
    <w:pPr>
      <w:snapToGrid w:val="0"/>
      <w:spacing w:after="0" w:line="240" w:lineRule="auto"/>
    </w:pPr>
    <w:rPr>
      <w:sz w:val="18"/>
      <w14:ligatures w14:val="none"/>
    </w:rPr>
  </w:style>
  <w:style w:type="paragraph" w:styleId="TOC2">
    <w:name w:val="toc 2"/>
    <w:basedOn w:val="a"/>
    <w:next w:val="a"/>
    <w:autoRedefine/>
    <w:uiPriority w:val="39"/>
    <w:unhideWhenUsed/>
    <w:qFormat/>
    <w:pPr>
      <w:tabs>
        <w:tab w:val="right" w:leader="dot" w:pos="8494"/>
      </w:tabs>
      <w:adjustRightInd w:val="0"/>
      <w:snapToGrid w:val="0"/>
      <w:spacing w:after="0" w:line="400" w:lineRule="exact" w:before="0"/>
      <w:ind w:leftChars="200" w:left="440"/>
    </w:pPr>
  </w:style>
  <w:style w:type="paragraph" w:styleId="af1">
    <w:name w:val="Normal (Web)"/>
    <w:basedOn w:val="a"/>
    <w:uiPriority w:val="99"/>
    <w:unhideWhenUsed/>
    <w:qFormat/>
    <w:pPr>
      <w:widowControl/>
      <w:spacing w:before="100" w:beforeAutospacing="1" w:after="100" w:afterAutospacing="1" w:line="240" w:lineRule="auto"/>
    </w:pPr>
    <w:rPr>
      <w:rFonts w:ascii="宋体" w:eastAsia="宋体" w:hAnsi="宋体" w:cs="宋体"/>
      <w:kern w:val="0"/>
      <w:sz w:val="24"/>
      <w14:ligatures w14:val="none"/>
    </w:rPr>
  </w:style>
  <w:style w:type="paragraph" w:styleId="af2">
    <w:name w:val="Title"/>
    <w:basedOn w:val="a"/>
    <w:next w:val="a"/>
    <w:link w:val="af3"/>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4">
    <w:name w:val="annotation subject"/>
    <w:basedOn w:val="a3"/>
    <w:next w:val="a3"/>
    <w:link w:val="af5"/>
    <w:uiPriority w:val="99"/>
    <w:semiHidden/>
    <w:unhideWhenUsed/>
    <w:qFormat/>
    <w:rPr>
      <w:b/>
      <w:bCs/>
    </w:rPr>
  </w:style>
  <w:style w:type="table" w:styleId="af6">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bCs/>
    </w:rPr>
  </w:style>
  <w:style w:type="character" w:styleId="af8">
    <w:name w:val="endnote reference"/>
    <w:basedOn w:val="a0"/>
    <w:uiPriority w:val="99"/>
    <w:semiHidden/>
    <w:unhideWhenUsed/>
    <w:qFormat/>
    <w:rPr>
      <w:vertAlign w:val="superscript"/>
    </w:rPr>
  </w:style>
  <w:style w:type="character" w:styleId="af9">
    <w:name w:val="FollowedHyperlink"/>
    <w:basedOn w:val="a0"/>
    <w:uiPriority w:val="99"/>
    <w:semiHidden/>
    <w:unhideWhenUsed/>
    <w:qFormat/>
    <w:rPr>
      <w:color w:val="954F72"/>
      <w:u w:val="single"/>
    </w:rPr>
  </w:style>
  <w:style w:type="character" w:styleId="afa">
    <w:name w:val="Hyperlink"/>
    <w:basedOn w:val="a0"/>
    <w:uiPriority w:val="99"/>
    <w:unhideWhenUsed/>
    <w:qFormat/>
    <w:rPr>
      <w:color w:val="0563C1" w:themeColor="hyperlink"/>
      <w:u w:val="single"/>
    </w:rPr>
  </w:style>
  <w:style w:type="character" w:styleId="afb">
    <w:name w:val="annotation reference"/>
    <w:basedOn w:val="a0"/>
    <w:uiPriority w:val="99"/>
    <w:unhideWhenUsed/>
    <w:qFormat/>
    <w:rPr>
      <w:sz w:val="21"/>
      <w:szCs w:val="21"/>
    </w:rPr>
  </w:style>
  <w:style w:type="character" w:styleId="afc">
    <w:name w:val="footnote reference"/>
    <w:basedOn w:val="a0"/>
    <w:qFormat/>
    <w:rPr>
      <w:vertAlign w:val="superscript"/>
    </w:rPr>
  </w:style>
  <w:style w:type="character" w:customStyle="1" w:styleId="10">
    <w:name w:val="标题 1 字符"/>
    <w:basedOn w:val="a0"/>
    <w:link w:val="1"/>
    <w:uiPriority w:val="9"/>
    <w:qFormat/>
    <w:rsid w:val="00FD0B07"/>
    <w:rPr>
      <w:rFonts w:ascii="微软雅黑" w:eastAsia="微软雅黑" w:hAnsi="微软雅黑" w:cstheme="majorBidi"/>
      <w:b/>
      <w:bCs/>
      <w:color w:val="2F5496" w:themeColor="accent1" w:themeShade="BF"/>
      <w:spacing w:val="10"/>
      <w:kern w:val="2"/>
      <w:sz w:val="32"/>
      <w:szCs w:val="32"/>
      <w14:ligatures w14:val="standardContextual"/>
    </w:rPr>
  </w:style>
  <w:style w:type="character" w:customStyle="1" w:styleId="20">
    <w:name w:val="标题 2 字符"/>
    <w:basedOn w:val="a0"/>
    <w:link w:val="2"/>
    <w:uiPriority w:val="9"/>
    <w:qFormat/>
    <w:rsid w:val="00406BD2"/>
    <w:rPr>
      <w:rFonts w:ascii="微软雅黑" w:eastAsia="微软雅黑" w:hAnsi="微软雅黑" w:cstheme="majorBidi"/>
      <w:b/>
      <w:bCs/>
      <w:color w:val="2F5496" w:themeColor="accent1" w:themeShade="BF"/>
      <w:spacing w:val="10"/>
      <w:kern w:val="2"/>
      <w:sz w:val="28"/>
      <w:szCs w:val="28"/>
      <w14:ligatures w14:val="standardContextual"/>
    </w:rPr>
  </w:style>
  <w:style w:type="character" w:customStyle="1" w:styleId="30">
    <w:name w:val="标题 3 字符"/>
    <w:basedOn w:val="a0"/>
    <w:link w:val="3"/>
    <w:uiPriority w:val="9"/>
    <w:qFormat/>
    <w:rsid w:val="00406BD2"/>
    <w:rPr>
      <w:rFonts w:ascii="微软雅黑" w:eastAsia="微软雅黑" w:hAnsi="微软雅黑" w:cstheme="majorBidi"/>
      <w:b/>
      <w:bCs/>
      <w:color w:val="2F5496" w:themeColor="accent1" w:themeShade="BF"/>
      <w:kern w:val="2"/>
      <w:sz w:val="24"/>
      <w:szCs w:val="24"/>
      <w14:ligatures w14:val="standardContextual"/>
    </w:rPr>
  </w:style>
  <w:style w:type="character" w:customStyle="1" w:styleId="40">
    <w:name w:val="标题 4 字符"/>
    <w:basedOn w:val="a0"/>
    <w:link w:val="4"/>
    <w:uiPriority w:val="9"/>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3">
    <w:name w:val="标题 字符"/>
    <w:basedOn w:val="a0"/>
    <w:link w:val="af2"/>
    <w:uiPriority w:val="10"/>
    <w:qFormat/>
    <w:rPr>
      <w:rFonts w:asciiTheme="majorHAnsi" w:eastAsiaTheme="majorEastAsia" w:hAnsiTheme="majorHAnsi" w:cstheme="majorBidi"/>
      <w:spacing w:val="-10"/>
      <w:kern w:val="28"/>
      <w:sz w:val="56"/>
      <w:szCs w:val="56"/>
    </w:rPr>
  </w:style>
  <w:style w:type="character" w:customStyle="1" w:styleId="ae">
    <w:name w:val="副标题 字符"/>
    <w:basedOn w:val="a0"/>
    <w:link w:val="ad"/>
    <w:uiPriority w:val="11"/>
    <w:qFormat/>
    <w:rPr>
      <w:rFonts w:asciiTheme="majorHAnsi" w:eastAsiaTheme="majorEastAsia" w:hAnsiTheme="majorHAnsi" w:cstheme="majorBidi"/>
      <w:color w:val="595959" w:themeColor="text1" w:themeTint="A6"/>
      <w:spacing w:val="15"/>
      <w:sz w:val="28"/>
      <w:szCs w:val="28"/>
    </w:rPr>
  </w:style>
  <w:style w:type="paragraph" w:styleId="afd">
    <w:name w:val="Quote"/>
    <w:basedOn w:val="a"/>
    <w:next w:val="a"/>
    <w:link w:val="afe"/>
    <w:uiPriority w:val="29"/>
    <w:qFormat/>
    <w:pPr>
      <w:spacing w:before="160"/>
      <w:jc w:val="center"/>
    </w:pPr>
    <w:rPr>
      <w:i/>
      <w:iCs/>
      <w:color w:val="404040" w:themeColor="text1" w:themeTint="BF"/>
    </w:rPr>
  </w:style>
  <w:style w:type="character" w:customStyle="1" w:styleId="afe">
    <w:name w:val="引用 字符"/>
    <w:basedOn w:val="a0"/>
    <w:link w:val="afd"/>
    <w:uiPriority w:val="29"/>
    <w:qFormat/>
    <w:rPr>
      <w:i/>
      <w:iCs/>
      <w:color w:val="404040" w:themeColor="text1" w:themeTint="BF"/>
    </w:rPr>
  </w:style>
  <w:style w:type="paragraph" w:styleId="aff">
    <w:name w:val="List Paragraph"/>
    <w:basedOn w:val="a"/>
    <w:uiPriority w:val="34"/>
    <w:qFormat/>
    <w:pPr>
      <w:spacing w:after="120" w:line="360" w:lineRule="auto"/>
      <w:ind w:left="720"/>
      <w:contextualSpacing/>
    </w:pPr>
    <w:rPr>
      <w:rFonts w:eastAsia="宋体" w:ascii="宋体" w:hAnsi="宋体" w:cs="宋体"/>
    </w:rPr>
  </w:style>
  <w:style w:type="character" w:customStyle="1" w:styleId="11">
    <w:name w:val="明显强调1"/>
    <w:basedOn w:val="a0"/>
    <w:uiPriority w:val="21"/>
    <w:qFormat/>
    <w:rPr>
      <w:i/>
      <w:iCs/>
      <w:color w:val="2F5496" w:themeColor="accent1" w:themeShade="BF"/>
    </w:rPr>
  </w:style>
  <w:style w:type="paragraph" w:styleId="aff0">
    <w:name w:val="Intense Quote"/>
    <w:basedOn w:val="a"/>
    <w:next w:val="a"/>
    <w:link w:val="af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1">
    <w:name w:val="明显引用 字符"/>
    <w:basedOn w:val="a0"/>
    <w:link w:val="aff0"/>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Style17">
    <w:name w:val="_Style 17"/>
    <w:basedOn w:val="a"/>
    <w:next w:val="aff"/>
    <w:uiPriority w:val="34"/>
    <w:qFormat/>
    <w:pPr>
      <w:spacing w:after="0" w:line="240" w:lineRule="auto"/>
      <w:ind w:firstLineChars="200" w:firstLine="420"/>
      <w:jc w:val="both"/>
    </w:pPr>
    <w:rPr>
      <w:rFonts w:ascii="Times New Roman" w:eastAsia="宋体" w:hAnsi="Times New Roman" w:cs="Times New Roman"/>
      <w:sz w:val="21"/>
      <w:szCs w:val="22"/>
      <w14:ligatures w14:val="none"/>
    </w:rPr>
  </w:style>
  <w:style w:type="paragraph" w:customStyle="1" w:styleId="13">
    <w:name w:val="列表段落1"/>
    <w:basedOn w:val="a"/>
    <w:uiPriority w:val="34"/>
    <w:qFormat/>
    <w:pPr>
      <w:ind w:left="720"/>
      <w:contextualSpacing/>
    </w:pPr>
    <w:rPr>
      <w14:ligatures w14:val="none"/>
    </w:rPr>
  </w:style>
  <w:style w:type="character" w:customStyle="1" w:styleId="text-only">
    <w:name w:val="text-only"/>
    <w:basedOn w:val="a0"/>
    <w:qFormat/>
  </w:style>
  <w:style w:type="character" w:customStyle="1" w:styleId="a4">
    <w:name w:val="批注文字 字符"/>
    <w:basedOn w:val="a0"/>
    <w:link w:val="a3"/>
    <w:uiPriority w:val="99"/>
    <w:qFormat/>
  </w:style>
  <w:style w:type="character" w:customStyle="1" w:styleId="af5">
    <w:name w:val="批注主题 字符"/>
    <w:basedOn w:val="a4"/>
    <w:link w:val="af4"/>
    <w:uiPriority w:val="99"/>
    <w:semiHidden/>
    <w:qFormat/>
    <w:rPr>
      <w:b/>
      <w:bCs/>
    </w:rPr>
  </w:style>
  <w:style w:type="paragraph" w:customStyle="1" w:styleId="ZSD1">
    <w:name w:val="ZS_D表编号1级"/>
    <w:basedOn w:val="a"/>
    <w:qFormat/>
    <w:pPr>
      <w:numPr>
        <w:numId w:val="1"/>
      </w:numPr>
      <w:tabs>
        <w:tab w:val="left" w:pos="360"/>
      </w:tabs>
      <w:snapToGrid w:val="0"/>
      <w:spacing w:beforeLines="50" w:before="50" w:after="0" w:line="360" w:lineRule="auto"/>
      <w:jc w:val="both"/>
    </w:pPr>
    <w:rPr>
      <w:rFonts w:ascii="Times New Roman" w:eastAsia="宋体" w:hAnsi="宋体" w:cs="Times New Roman"/>
      <w:sz w:val="18"/>
      <w:szCs w:val="21"/>
      <w14:ligatures w14:val="none"/>
    </w:rPr>
  </w:style>
  <w:style w:type="paragraph" w:customStyle="1" w:styleId="ZSD">
    <w:name w:val="ZS_D表 正文"/>
    <w:basedOn w:val="a"/>
    <w:link w:val="ZSDChar"/>
    <w:qFormat/>
    <w:pPr>
      <w:snapToGrid w:val="0"/>
      <w:spacing w:beforeLines="50" w:before="50" w:after="0" w:line="360" w:lineRule="auto"/>
      <w:jc w:val="both"/>
    </w:pPr>
    <w:rPr>
      <w:rFonts w:ascii="Times New Roman" w:eastAsia="宋体" w:hAnsi="宋体" w:cs="Times New Roman"/>
      <w:sz w:val="18"/>
      <w:szCs w:val="21"/>
      <w14:ligatures w14:val="none"/>
    </w:rPr>
  </w:style>
  <w:style w:type="character" w:customStyle="1" w:styleId="ZSDChar">
    <w:name w:val="ZS_D表 正文 Char"/>
    <w:link w:val="ZSD"/>
    <w:qFormat/>
    <w:rPr>
      <w:rFonts w:ascii="Times New Roman" w:eastAsia="宋体" w:hAnsi="宋体" w:cs="Times New Roman"/>
      <w:sz w:val="18"/>
      <w:szCs w:val="21"/>
      <w14:ligatures w14:val="none"/>
    </w:rPr>
  </w:style>
  <w:style w:type="paragraph" w:customStyle="1" w:styleId="aff2">
    <w:name w:val="段"/>
    <w:link w:val="Char"/>
    <w:qFormat/>
    <w:pPr>
      <w:autoSpaceDE w:val="0"/>
      <w:autoSpaceDN w:val="0"/>
      <w:ind w:firstLineChars="200" w:firstLine="200"/>
      <w:jc w:val="both"/>
    </w:pPr>
    <w:rPr>
      <w:rFonts w:ascii="宋体" w:eastAsia="宋体" w:hAnsi="Times New Roman" w:cs="Times New Roman"/>
      <w:sz w:val="21"/>
    </w:rPr>
  </w:style>
  <w:style w:type="character" w:customStyle="1" w:styleId="Char">
    <w:name w:val="段 Char"/>
    <w:link w:val="aff2"/>
    <w:qFormat/>
    <w:rPr>
      <w:rFonts w:ascii="宋体" w:eastAsia="宋体" w:hAnsi="Times New Roman" w:cs="Times New Roman"/>
      <w:kern w:val="0"/>
      <w:sz w:val="21"/>
      <w:szCs w:val="20"/>
      <w14:ligatures w14:val="none"/>
    </w:rPr>
  </w:style>
  <w:style w:type="paragraph" w:customStyle="1" w:styleId="ZSA">
    <w:name w:val="ZS_A正文"/>
    <w:link w:val="ZSA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ZSAChar">
    <w:name w:val="ZS_A正文 Char"/>
    <w:link w:val="ZSA"/>
    <w:qFormat/>
    <w:rPr>
      <w:rFonts w:ascii="宋体" w:eastAsia="宋体" w:hAnsi="Times New Roman" w:cs="Times New Roman"/>
      <w:kern w:val="0"/>
      <w:sz w:val="21"/>
      <w:szCs w:val="20"/>
      <w14:ligatures w14:val="none"/>
    </w:rPr>
  </w:style>
  <w:style w:type="paragraph" w:styleId="aff3">
    <w:name w:val="No Spacing"/>
    <w:link w:val="aff4"/>
    <w:uiPriority w:val="1"/>
    <w:qFormat/>
    <w:rPr>
      <w:sz w:val="22"/>
      <w:szCs w:val="22"/>
      <w:lang w:eastAsia="en-US"/>
    </w:rPr>
  </w:style>
  <w:style w:type="character" w:customStyle="1" w:styleId="aff4">
    <w:name w:val="无间隔 字符"/>
    <w:basedOn w:val="a0"/>
    <w:link w:val="aff3"/>
    <w:uiPriority w:val="1"/>
    <w:qFormat/>
    <w:rPr>
      <w:kern w:val="0"/>
      <w:szCs w:val="22"/>
      <w:lang w:eastAsia="en-US"/>
      <w14:ligatures w14:val="none"/>
    </w:rPr>
  </w:style>
  <w:style w:type="paragraph" w:customStyle="1" w:styleId="TOC10">
    <w:name w:val="TOC 标题1"/>
    <w:basedOn w:val="1"/>
    <w:next w:val="a"/>
    <w:uiPriority w:val="39"/>
    <w:unhideWhenUsed/>
    <w:qFormat/>
    <w:pPr>
      <w:widowControl/>
      <w:spacing w:before="240" w:line="259" w:lineRule="auto"/>
      <w:outlineLvl w:val="9"/>
    </w:pPr>
    <w:rPr>
      <w:kern w:val="0"/>
      <w:lang w:eastAsia="en-US"/>
      <w14:ligatures w14:val="non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14">
    <w:name w:val="未处理的提及1"/>
    <w:basedOn w:val="a0"/>
    <w:uiPriority w:val="99"/>
    <w:semiHidden/>
    <w:unhideWhenUsed/>
    <w:qFormat/>
    <w:rPr>
      <w:color w:val="605E5C"/>
      <w:shd w:val="clear" w:color="auto" w:fill="E1DFDD"/>
    </w:rPr>
  </w:style>
  <w:style w:type="table" w:customStyle="1" w:styleId="15">
    <w:name w:val="网格型1"/>
    <w:basedOn w:val="a1"/>
    <w:uiPriority w:val="39"/>
    <w:qFormat/>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修订1"/>
    <w:hidden/>
    <w:uiPriority w:val="99"/>
    <w:semiHidden/>
    <w:qFormat/>
    <w:rPr>
      <w:kern w:val="2"/>
      <w:sz w:val="22"/>
      <w:szCs w:val="24"/>
      <w14:ligatures w14:val="standardContextual"/>
    </w:rPr>
  </w:style>
  <w:style w:type="table" w:customStyle="1" w:styleId="4-11">
    <w:name w:val="网格表 4 - 着色 11"/>
    <w:basedOn w:val="a1"/>
    <w:uiPriority w:val="49"/>
    <w:qFormat/>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0">
    <w:name w:val="TOC 标题2"/>
    <w:basedOn w:val="1"/>
    <w:next w:val="a"/>
    <w:uiPriority w:val="39"/>
    <w:unhideWhenUsed/>
    <w:qFormat/>
    <w:pPr>
      <w:widowControl/>
      <w:spacing w:before="240" w:line="259" w:lineRule="auto"/>
      <w:outlineLvl w:val="9"/>
    </w:pPr>
    <w:rPr>
      <w:kern w:val="0"/>
      <w:lang w:eastAsia="en-US"/>
      <w14:ligatures w14:val="none"/>
    </w:rPr>
  </w:style>
  <w:style w:type="character" w:customStyle="1" w:styleId="21">
    <w:name w:val="未处理的提及2"/>
    <w:basedOn w:val="a0"/>
    <w:uiPriority w:val="99"/>
    <w:semiHidden/>
    <w:unhideWhenUsed/>
    <w:qFormat/>
    <w:rPr>
      <w:color w:val="605E5C"/>
      <w:shd w:val="clear" w:color="auto" w:fill="E1DFDD"/>
    </w:rPr>
  </w:style>
  <w:style w:type="paragraph" w:customStyle="1" w:styleId="ds-markdown-paragraph">
    <w:name w:val="ds-markdown-paragraph"/>
    <w:basedOn w:val="a"/>
    <w:qFormat/>
    <w:pPr>
      <w:widowControl/>
      <w:spacing w:before="100" w:beforeAutospacing="1" w:after="100" w:afterAutospacing="1" w:line="240" w:lineRule="auto"/>
    </w:pPr>
    <w:rPr>
      <w:rFonts w:ascii="宋体" w:eastAsia="宋体" w:hAnsi="宋体" w:cs="宋体"/>
      <w:kern w:val="0"/>
      <w:sz w:val="24"/>
      <w14:ligatures w14:val="none"/>
    </w:rPr>
  </w:style>
  <w:style w:type="table" w:customStyle="1" w:styleId="22">
    <w:name w:val="网格型2"/>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脚注文本 字符"/>
    <w:basedOn w:val="a0"/>
    <w:link w:val="af"/>
    <w:qFormat/>
    <w:rPr>
      <w:kern w:val="2"/>
      <w:sz w:val="18"/>
      <w:szCs w:val="24"/>
    </w:rPr>
  </w:style>
  <w:style w:type="character" w:customStyle="1" w:styleId="31">
    <w:name w:val="未处理的提及3"/>
    <w:basedOn w:val="a0"/>
    <w:uiPriority w:val="99"/>
    <w:semiHidden/>
    <w:unhideWhenUsed/>
    <w:qFormat/>
    <w:rPr>
      <w:color w:val="605E5C"/>
      <w:shd w:val="clear" w:color="auto" w:fill="E1DFDD"/>
    </w:rPr>
  </w:style>
  <w:style w:type="paragraph" w:customStyle="1" w:styleId="msonormal0">
    <w:name w:val="msonormal"/>
    <w:basedOn w:val="a"/>
    <w:qFormat/>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font5">
    <w:name w:val="font5"/>
    <w:basedOn w:val="a"/>
    <w:qFormat/>
    <w:pPr>
      <w:widowControl/>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font6">
    <w:name w:val="font6"/>
    <w:basedOn w:val="a"/>
    <w:qFormat/>
    <w:pPr>
      <w:widowControl/>
      <w:spacing w:before="100" w:beforeAutospacing="1" w:after="100" w:afterAutospacing="1" w:line="240" w:lineRule="auto"/>
    </w:pPr>
    <w:rPr>
      <w:rFonts w:ascii="DengXian" w:eastAsia="DengXian" w:hAnsi="DengXian" w:cs="宋体"/>
      <w:kern w:val="0"/>
      <w:sz w:val="18"/>
      <w:szCs w:val="18"/>
      <w14:ligatures w14:val="none"/>
    </w:rPr>
  </w:style>
  <w:style w:type="paragraph" w:customStyle="1" w:styleId="font7">
    <w:name w:val="font7"/>
    <w:basedOn w:val="a"/>
    <w:qFormat/>
    <w:pPr>
      <w:widowControl/>
      <w:spacing w:before="100" w:beforeAutospacing="1" w:after="100" w:afterAutospacing="1" w:line="240" w:lineRule="auto"/>
    </w:pPr>
    <w:rPr>
      <w:rFonts w:ascii="微软雅黑" w:eastAsia="微软雅黑" w:hAnsi="微软雅黑" w:cs="宋体"/>
      <w:color w:val="FF0000"/>
      <w:kern w:val="0"/>
      <w:sz w:val="24"/>
      <w14:ligatures w14:val="none"/>
    </w:rPr>
  </w:style>
  <w:style w:type="paragraph" w:customStyle="1" w:styleId="font8">
    <w:name w:val="font8"/>
    <w:basedOn w:val="a"/>
    <w:qFormat/>
    <w:pPr>
      <w:widowControl/>
      <w:spacing w:before="100" w:beforeAutospacing="1" w:after="100" w:afterAutospacing="1" w:line="240" w:lineRule="auto"/>
    </w:pPr>
    <w:rPr>
      <w:rFonts w:ascii="微软雅黑" w:eastAsia="微软雅黑" w:hAnsi="微软雅黑" w:cs="宋体"/>
      <w:kern w:val="0"/>
      <w:sz w:val="20"/>
      <w:szCs w:val="20"/>
      <w14:ligatures w14:val="none"/>
    </w:rPr>
  </w:style>
  <w:style w:type="paragraph" w:customStyle="1" w:styleId="font9">
    <w:name w:val="font9"/>
    <w:basedOn w:val="a"/>
    <w:qFormat/>
    <w:pPr>
      <w:widowControl/>
      <w:spacing w:before="100" w:beforeAutospacing="1" w:after="100" w:afterAutospacing="1" w:line="240" w:lineRule="auto"/>
    </w:pPr>
    <w:rPr>
      <w:rFonts w:ascii="微软雅黑" w:eastAsia="微软雅黑" w:hAnsi="微软雅黑" w:cs="宋体"/>
      <w:color w:val="000000"/>
      <w:kern w:val="0"/>
      <w:sz w:val="20"/>
      <w:szCs w:val="20"/>
      <w14:ligatures w14:val="none"/>
    </w:rPr>
  </w:style>
  <w:style w:type="paragraph" w:customStyle="1" w:styleId="font10">
    <w:name w:val="font10"/>
    <w:basedOn w:val="a"/>
    <w:qFormat/>
    <w:pPr>
      <w:widowControl/>
      <w:spacing w:before="100" w:beforeAutospacing="1" w:after="100" w:afterAutospacing="1" w:line="240" w:lineRule="auto"/>
    </w:pPr>
    <w:rPr>
      <w:rFonts w:ascii="宋体" w:eastAsia="宋体" w:hAnsi="宋体" w:cs="宋体"/>
      <w:b/>
      <w:bCs/>
      <w:color w:val="000000"/>
      <w:kern w:val="0"/>
      <w:sz w:val="18"/>
      <w:szCs w:val="18"/>
      <w14:ligatures w14:val="none"/>
    </w:rPr>
  </w:style>
  <w:style w:type="paragraph" w:customStyle="1" w:styleId="font11">
    <w:name w:val="font11"/>
    <w:basedOn w:val="a"/>
    <w:qFormat/>
    <w:pPr>
      <w:widowControl/>
      <w:spacing w:before="100" w:beforeAutospacing="1" w:after="100" w:afterAutospacing="1" w:line="240" w:lineRule="auto"/>
    </w:pPr>
    <w:rPr>
      <w:rFonts w:ascii="宋体" w:eastAsia="宋体" w:hAnsi="宋体" w:cs="宋体"/>
      <w:color w:val="000000"/>
      <w:kern w:val="0"/>
      <w:sz w:val="18"/>
      <w:szCs w:val="18"/>
      <w14:ligatures w14:val="none"/>
    </w:rPr>
  </w:style>
  <w:style w:type="paragraph" w:customStyle="1" w:styleId="font12">
    <w:name w:val="font12"/>
    <w:basedOn w:val="a"/>
    <w:qFormat/>
    <w:pPr>
      <w:widowControl/>
      <w:spacing w:before="100" w:beforeAutospacing="1" w:after="100" w:afterAutospacing="1" w:line="240" w:lineRule="auto"/>
    </w:pPr>
    <w:rPr>
      <w:rFonts w:ascii="微软雅黑" w:eastAsia="微软雅黑" w:hAnsi="微软雅黑" w:cs="宋体"/>
      <w:b/>
      <w:bCs/>
      <w:color w:val="FF0000"/>
      <w:kern w:val="0"/>
      <w:sz w:val="20"/>
      <w:szCs w:val="20"/>
      <w14:ligatures w14:val="none"/>
    </w:rPr>
  </w:style>
  <w:style w:type="paragraph" w:customStyle="1" w:styleId="font13">
    <w:name w:val="font13"/>
    <w:basedOn w:val="a"/>
    <w:qFormat/>
    <w:pPr>
      <w:widowControl/>
      <w:spacing w:before="100" w:beforeAutospacing="1" w:after="100" w:afterAutospacing="1" w:line="240" w:lineRule="auto"/>
    </w:pPr>
    <w:rPr>
      <w:rFonts w:ascii="微软雅黑" w:eastAsia="微软雅黑" w:hAnsi="微软雅黑" w:cs="宋体"/>
      <w:b/>
      <w:bCs/>
      <w:color w:val="FF0000"/>
      <w:kern w:val="0"/>
      <w:sz w:val="24"/>
      <w14:ligatures w14:val="none"/>
    </w:rPr>
  </w:style>
  <w:style w:type="paragraph" w:customStyle="1" w:styleId="font14">
    <w:name w:val="font14"/>
    <w:basedOn w:val="a"/>
    <w:qFormat/>
    <w:pPr>
      <w:widowControl/>
      <w:spacing w:before="100" w:beforeAutospacing="1" w:after="100" w:afterAutospacing="1" w:line="240" w:lineRule="auto"/>
    </w:pPr>
    <w:rPr>
      <w:rFonts w:ascii="微软雅黑" w:eastAsia="微软雅黑" w:hAnsi="微软雅黑" w:cs="宋体"/>
      <w:color w:val="4472C4"/>
      <w:kern w:val="0"/>
      <w:sz w:val="24"/>
      <w14:ligatures w14:val="none"/>
    </w:rPr>
  </w:style>
  <w:style w:type="paragraph" w:customStyle="1" w:styleId="xl67">
    <w:name w:val="xl67"/>
    <w:basedOn w:val="a"/>
    <w:qFormat/>
    <w:pPr>
      <w:widowControl/>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68">
    <w:name w:val="xl68"/>
    <w:basedOn w:val="a"/>
    <w:qFormat/>
    <w:pPr>
      <w:widowControl/>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69">
    <w:name w:val="xl69"/>
    <w:basedOn w:val="a"/>
    <w:qFormat/>
    <w:pPr>
      <w:widowControl/>
      <w:pBdr>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pPr>
    <w:rPr>
      <w:rFonts w:ascii="微软雅黑" w:eastAsia="微软雅黑" w:hAnsi="微软雅黑" w:cs="宋体"/>
      <w:b/>
      <w:bCs/>
      <w:color w:val="FFFFFF"/>
      <w:kern w:val="0"/>
      <w:sz w:val="28"/>
      <w:szCs w:val="28"/>
      <w14:ligatures w14:val="none"/>
    </w:rPr>
  </w:style>
  <w:style w:type="paragraph" w:customStyle="1" w:styleId="xl70">
    <w:name w:val="xl70"/>
    <w:basedOn w:val="a"/>
    <w:qFormat/>
    <w:pPr>
      <w:widowControl/>
      <w:pBdr>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pPr>
    <w:rPr>
      <w:rFonts w:ascii="微软雅黑" w:eastAsia="微软雅黑" w:hAnsi="微软雅黑" w:cs="宋体"/>
      <w:b/>
      <w:bCs/>
      <w:color w:val="FFFFFF"/>
      <w:kern w:val="0"/>
      <w:sz w:val="28"/>
      <w:szCs w:val="28"/>
      <w14:ligatures w14:val="none"/>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77">
    <w:name w:val="xl77"/>
    <w:basedOn w:val="a"/>
    <w:qFormat/>
    <w:pPr>
      <w:widowControl/>
      <w:pBdr>
        <w:top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b/>
      <w:bCs/>
      <w:kern w:val="0"/>
      <w:sz w:val="24"/>
      <w14:ligatures w14:val="none"/>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80">
    <w:name w:val="xl80"/>
    <w:basedOn w:val="a"/>
    <w:qFormat/>
    <w:pPr>
      <w:widowControl/>
      <w:pBdr>
        <w:top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81">
    <w:name w:val="xl81"/>
    <w:basedOn w:val="a"/>
    <w:qFormat/>
    <w:pPr>
      <w:widowControl/>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82">
    <w:name w:val="xl82"/>
    <w:basedOn w:val="a"/>
    <w:qFormat/>
    <w:pPr>
      <w:widowControl/>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83">
    <w:name w:val="xl83"/>
    <w:basedOn w:val="a"/>
    <w:qFormat/>
    <w:pPr>
      <w:widowControl/>
      <w:pBdr>
        <w:top w:val="single" w:sz="4" w:space="0" w:color="000000"/>
        <w:bottom w:val="single" w:sz="4" w:space="0" w:color="000000"/>
        <w:right w:val="single" w:sz="4" w:space="0" w:color="000000"/>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86">
    <w:name w:val="xl8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color w:val="FF0000"/>
      <w:kern w:val="0"/>
      <w:sz w:val="24"/>
      <w14:ligatures w14:val="none"/>
    </w:rPr>
  </w:style>
  <w:style w:type="paragraph" w:customStyle="1" w:styleId="xl88">
    <w:name w:val="xl88"/>
    <w:basedOn w:val="a"/>
    <w:qFormat/>
    <w:pPr>
      <w:widowControl/>
      <w:pBdr>
        <w:top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color w:val="FF0000"/>
      <w:kern w:val="0"/>
      <w:sz w:val="24"/>
      <w14:ligatures w14:val="none"/>
    </w:rPr>
  </w:style>
  <w:style w:type="paragraph" w:customStyle="1" w:styleId="xl89">
    <w:name w:val="xl89"/>
    <w:basedOn w:val="a"/>
    <w:qFormat/>
    <w:pPr>
      <w:widowControl/>
      <w:pBdr>
        <w:top w:val="single" w:sz="4" w:space="0" w:color="000000"/>
        <w:bottom w:val="single" w:sz="4" w:space="0" w:color="000000"/>
        <w:right w:val="single" w:sz="4" w:space="0" w:color="000000"/>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0">
    <w:name w:val="xl90"/>
    <w:basedOn w:val="a"/>
    <w:qFormat/>
    <w:pPr>
      <w:widowControl/>
      <w:pBdr>
        <w:top w:val="single" w:sz="4" w:space="0" w:color="DEE0E3"/>
        <w:left w:val="single" w:sz="4" w:space="0" w:color="000000"/>
        <w:bottom w:val="single" w:sz="4" w:space="0" w:color="000000"/>
        <w:right w:val="single" w:sz="4" w:space="0" w:color="000000"/>
      </w:pBdr>
      <w:spacing w:before="100" w:beforeAutospacing="1" w:after="100" w:afterAutospacing="1" w:line="240" w:lineRule="auto"/>
      <w:jc w:val="center"/>
    </w:pPr>
    <w:rPr>
      <w:rFonts w:ascii="微软雅黑" w:eastAsia="微软雅黑" w:hAnsi="微软雅黑" w:cs="宋体"/>
      <w:kern w:val="0"/>
      <w:sz w:val="24"/>
      <w14:ligatures w14:val="none"/>
    </w:rPr>
  </w:style>
  <w:style w:type="paragraph" w:customStyle="1" w:styleId="xl91">
    <w:name w:val="xl9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paragraph" w:customStyle="1" w:styleId="xl96">
    <w:name w:val="xl96"/>
    <w:basedOn w:val="a"/>
    <w:qFormat/>
    <w:pPr>
      <w:widowControl/>
      <w:pBdr>
        <w:left w:val="single" w:sz="4" w:space="0" w:color="auto"/>
        <w:bottom w:val="single" w:sz="4" w:space="0" w:color="auto"/>
        <w:right w:val="single" w:sz="4" w:space="0" w:color="auto"/>
      </w:pBdr>
      <w:shd w:val="clear" w:color="000000" w:fill="305496"/>
      <w:spacing w:before="100" w:beforeAutospacing="1" w:after="100" w:afterAutospacing="1" w:line="240" w:lineRule="auto"/>
      <w:jc w:val="right"/>
    </w:pPr>
    <w:rPr>
      <w:rFonts w:ascii="微软雅黑" w:eastAsia="微软雅黑" w:hAnsi="微软雅黑" w:cs="宋体"/>
      <w:b/>
      <w:bCs/>
      <w:color w:val="FFFFFF"/>
      <w:kern w:val="0"/>
      <w:sz w:val="24"/>
      <w14:ligatures w14:val="none"/>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01">
    <w:name w:val="xl10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06">
    <w:name w:val="xl106"/>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7">
    <w:name w:val="xl107"/>
    <w:basedOn w:val="a"/>
    <w:qFormat/>
    <w:pPr>
      <w:widowControl/>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09">
    <w:name w:val="xl10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5">
    <w:name w:val="xl115"/>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6">
    <w:name w:val="xl116"/>
    <w:basedOn w:val="a"/>
    <w:qFormat/>
    <w:pPr>
      <w:widowControl/>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17">
    <w:name w:val="xl117"/>
    <w:basedOn w:val="a"/>
    <w:qFormat/>
    <w:pPr>
      <w:widowControl/>
      <w:pBdr>
        <w:top w:val="single" w:sz="4" w:space="0" w:color="000000"/>
        <w:left w:val="single" w:sz="4" w:space="0" w:color="000000"/>
        <w:bottom w:val="single" w:sz="4" w:space="0" w:color="000000"/>
      </w:pBdr>
      <w:spacing w:before="100" w:beforeAutospacing="1" w:after="100" w:afterAutospacing="1" w:line="240" w:lineRule="auto"/>
      <w:jc w:val="right"/>
    </w:pPr>
    <w:rPr>
      <w:rFonts w:ascii="微软雅黑" w:eastAsia="微软雅黑" w:hAnsi="微软雅黑" w:cs="宋体"/>
      <w:color w:val="1F2329"/>
      <w:kern w:val="0"/>
      <w:sz w:val="24"/>
      <w14:ligatures w14:val="none"/>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color w:val="1F2329"/>
      <w:kern w:val="0"/>
      <w:sz w:val="24"/>
      <w14:ligatures w14:val="none"/>
    </w:rPr>
  </w:style>
  <w:style w:type="paragraph" w:customStyle="1" w:styleId="xl119">
    <w:name w:val="xl119"/>
    <w:basedOn w:val="a"/>
    <w:qFormat/>
    <w:pPr>
      <w:widowControl/>
      <w:pBdr>
        <w:top w:val="single" w:sz="4" w:space="0" w:color="000000"/>
        <w:left w:val="single" w:sz="4" w:space="0" w:color="000000"/>
        <w:bottom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2">
    <w:name w:val="xl122"/>
    <w:basedOn w:val="a"/>
    <w:qFormat/>
    <w:pPr>
      <w:widowControl/>
      <w:pBdr>
        <w:top w:val="single" w:sz="4" w:space="0" w:color="000000"/>
        <w:left w:val="single" w:sz="4" w:space="0" w:color="000000"/>
        <w:bottom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4">
    <w:name w:val="xl124"/>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color w:val="FF0000"/>
      <w:kern w:val="0"/>
      <w:sz w:val="24"/>
      <w14:ligatures w14:val="none"/>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4">
    <w:name w:val="xl13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35">
    <w:name w:val="xl13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微软雅黑" w:eastAsia="微软雅黑" w:hAnsi="微软雅黑" w:cs="宋体"/>
      <w:kern w:val="0"/>
      <w:sz w:val="24"/>
      <w14:ligatures w14:val="none"/>
    </w:rPr>
  </w:style>
  <w:style w:type="paragraph" w:customStyle="1" w:styleId="xl136">
    <w:name w:val="xl136"/>
    <w:basedOn w:val="a"/>
    <w:qFormat/>
    <w:pPr>
      <w:widowControl/>
      <w:pBdr>
        <w:top w:val="single" w:sz="4" w:space="0" w:color="DEE0E3"/>
        <w:left w:val="single" w:sz="4" w:space="0" w:color="000000"/>
        <w:bottom w:val="single" w:sz="4" w:space="0" w:color="DEE0E3"/>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37">
    <w:name w:val="xl13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color w:val="1F2329"/>
      <w:kern w:val="0"/>
      <w:sz w:val="24"/>
      <w14:ligatures w14:val="none"/>
    </w:rPr>
  </w:style>
  <w:style w:type="paragraph" w:customStyle="1" w:styleId="xl138">
    <w:name w:val="xl138"/>
    <w:basedOn w:val="a"/>
    <w:qFormat/>
    <w:pPr>
      <w:widowControl/>
      <w:pBdr>
        <w:top w:val="single" w:sz="4" w:space="0" w:color="000000"/>
        <w:left w:val="single" w:sz="4" w:space="0" w:color="000000"/>
        <w:bottom w:val="single" w:sz="4" w:space="0" w:color="000000"/>
        <w:right w:val="single" w:sz="4" w:space="0" w:color="DEE0E3"/>
      </w:pBdr>
      <w:spacing w:before="100" w:beforeAutospacing="1" w:after="100" w:afterAutospacing="1" w:line="240" w:lineRule="auto"/>
      <w:jc w:val="right"/>
    </w:pPr>
    <w:rPr>
      <w:rFonts w:ascii="微软雅黑" w:eastAsia="微软雅黑" w:hAnsi="微软雅黑" w:cs="宋体"/>
      <w:color w:val="1F2329"/>
      <w:kern w:val="0"/>
      <w:sz w:val="24"/>
      <w14:ligatures w14:val="none"/>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0">
    <w:name w:val="xl140"/>
    <w:basedOn w:val="a"/>
    <w:qFormat/>
    <w:pPr>
      <w:widowControl/>
      <w:pBdr>
        <w:top w:val="single" w:sz="4" w:space="0" w:color="000000"/>
        <w:left w:val="single" w:sz="4" w:space="0" w:color="DEE0E3"/>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color w:val="1F2329"/>
      <w:kern w:val="0"/>
      <w:sz w:val="24"/>
      <w14:ligatures w14:val="none"/>
    </w:rPr>
  </w:style>
  <w:style w:type="paragraph" w:customStyle="1" w:styleId="xl141">
    <w:name w:val="xl141"/>
    <w:basedOn w:val="a"/>
    <w:qFormat/>
    <w:pPr>
      <w:widowControl/>
      <w:pBdr>
        <w:top w:val="single" w:sz="4" w:space="0" w:color="DEE0E3"/>
        <w:left w:val="single" w:sz="4" w:space="0" w:color="DEE0E3"/>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2">
    <w:name w:val="xl14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3">
    <w:name w:val="xl14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4">
    <w:name w:val="xl144"/>
    <w:basedOn w:val="a"/>
    <w:qFormat/>
    <w:pPr>
      <w:widowControl/>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color w:val="FF0000"/>
      <w:kern w:val="0"/>
      <w:sz w:val="24"/>
      <w14:ligatures w14:val="none"/>
    </w:rPr>
  </w:style>
  <w:style w:type="paragraph" w:customStyle="1" w:styleId="xl146">
    <w:name w:val="xl14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7">
    <w:name w:val="xl1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8">
    <w:name w:val="xl148"/>
    <w:basedOn w:val="a"/>
    <w:qFormat/>
    <w:pPr>
      <w:widowControl/>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49">
    <w:name w:val="xl149"/>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微软雅黑" w:eastAsia="微软雅黑" w:hAnsi="微软雅黑" w:cs="宋体"/>
      <w:kern w:val="0"/>
      <w:sz w:val="24"/>
      <w14:ligatures w14:val="none"/>
    </w:rPr>
  </w:style>
  <w:style w:type="paragraph" w:customStyle="1" w:styleId="xl151">
    <w:name w:val="xl151"/>
    <w:basedOn w:val="a"/>
    <w:qFormat/>
    <w:pPr>
      <w:widowControl/>
      <w:pBdr>
        <w:top w:val="single" w:sz="4" w:space="0" w:color="auto"/>
        <w:bottom w:val="single" w:sz="4" w:space="0" w:color="auto"/>
        <w:right w:val="single" w:sz="4" w:space="0" w:color="auto"/>
      </w:pBdr>
      <w:spacing w:before="100" w:beforeAutospacing="1" w:after="100" w:afterAutospacing="1" w:line="240" w:lineRule="auto"/>
    </w:pPr>
    <w:rPr>
      <w:rFonts w:ascii="微软雅黑" w:eastAsia="微软雅黑" w:hAnsi="微软雅黑" w:cs="宋体"/>
      <w:kern w:val="0"/>
      <w:sz w:val="24"/>
      <w14:ligatures w14:val="none"/>
    </w:rPr>
  </w:style>
  <w:style w:type="table" w:customStyle="1" w:styleId="32">
    <w:name w:val="网格型3"/>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修订2"/>
    <w:hidden/>
    <w:uiPriority w:val="99"/>
    <w:semiHidden/>
    <w:qFormat/>
    <w:rPr>
      <w:kern w:val="2"/>
      <w:sz w:val="22"/>
      <w:szCs w:val="24"/>
      <w14:ligatures w14:val="standardContextual"/>
    </w:rPr>
  </w:style>
  <w:style w:type="character" w:customStyle="1" w:styleId="41">
    <w:name w:val="未处理的提及4"/>
    <w:basedOn w:val="a0"/>
    <w:uiPriority w:val="99"/>
    <w:semiHidden/>
    <w:unhideWhenUsed/>
    <w:qFormat/>
    <w:rPr>
      <w:color w:val="605E5C"/>
      <w:shd w:val="clear" w:color="auto" w:fill="E1DFDD"/>
    </w:rPr>
  </w:style>
  <w:style w:type="character" w:customStyle="1" w:styleId="a6">
    <w:name w:val="尾注文本 字符"/>
    <w:basedOn w:val="a0"/>
    <w:link w:val="a5"/>
    <w:uiPriority w:val="99"/>
    <w:semiHidden/>
    <w:qFormat/>
    <w:rPr>
      <w:kern w:val="2"/>
      <w:sz w:val="22"/>
      <w:szCs w:val="24"/>
      <w14:ligatures w14:val="standardContextual"/>
    </w:rPr>
  </w:style>
  <w:style w:type="paragraph" w:customStyle="1" w:styleId="33">
    <w:name w:val="修订3"/>
    <w:hidden/>
    <w:uiPriority w:val="99"/>
    <w:semiHidden/>
    <w:qFormat/>
    <w:rPr>
      <w:kern w:val="2"/>
      <w:sz w:val="22"/>
      <w:szCs w:val="24"/>
      <w14:ligatures w14:val="standardContextual"/>
    </w:rPr>
  </w:style>
  <w:style w:type="character" w:styleId="aff5">
    <w:name w:val="Unresolved Mention"/>
    <w:basedOn w:val="a0"/>
    <w:uiPriority w:val="99"/>
    <w:semiHidden/>
    <w:unhideWhenUsed/>
    <w:rsid w:val="00785568"/>
    <w:rPr>
      <w:color w:val="605E5C"/>
      <w:shd w:val="clear" w:color="auto" w:fill="E1DFDD"/>
    </w:rPr>
  </w:style>
  <w:style w:type="paragraph" w:styleId="aff6">
    <w:name w:val="Revision"/>
    <w:hidden/>
    <w:uiPriority w:val="99"/>
    <w:unhideWhenUsed/>
    <w:rsid w:val="00025BB1"/>
    <w:rPr>
      <w:kern w:val="2"/>
      <w:sz w:val="22"/>
      <w:szCs w:val="24"/>
      <w14:ligatures w14:val="standardContextual"/>
    </w:rPr>
  </w:style>
  <w:style w:type="paragraph" w:styleId="aff7">
    <w:name w:val="caption"/>
    <w:basedOn w:val="a"/>
    <w:next w:val="a"/>
    <w:unhideWhenUsed/>
    <w:qFormat/>
    <w:rsid w:val="00D87B0D"/>
    <w:pPr>
      <w:spacing w:after="0" w:line="240" w:lineRule="auto"/>
      <w:jc w:val="both"/>
    </w:pPr>
    <w:rPr>
      <w:rFonts w:asciiTheme="majorHAnsi" w:eastAsia="黑体" w:hAnsiTheme="majorHAnsi" w:cstheme="majorBidi"/>
      <w:sz w:val="20"/>
      <w:szCs w:val="20"/>
      <w14:ligatures w14:val="none"/>
    </w:rPr>
  </w:style>
  <w:style w:type="paragraph" w:styleId="TOC">
    <w:name w:val="TOC Heading"/>
    <w:basedOn w:val="1"/>
    <w:next w:val="a"/>
    <w:uiPriority w:val="39"/>
    <w:unhideWhenUsed/>
    <w:qFormat/>
    <w:rsid w:val="00210159"/>
    <w:pPr>
      <w:widowControl/>
      <w:numPr>
        <w:numId w:val="0"/>
      </w:numPr>
      <w:tabs>
        <w:tab w:val="clear" w:pos="3261"/>
      </w:tabs>
      <w:snapToGrid/>
      <w:spacing w:beforeLines="0" w:before="240" w:line="259" w:lineRule="auto"/>
      <w:jc w:val="left"/>
      <w:outlineLvl w:val="9"/>
    </w:pPr>
    <w:rPr>
      <w:rFonts w:asciiTheme="majorHAnsi" w:eastAsiaTheme="majorEastAsia" w:hAnsiTheme="majorHAnsi"/>
      <w:b w:val="0"/>
      <w:bCs w:val="0"/>
      <w:spacing w:val="0"/>
      <w:kern w:val="0"/>
      <w14:ligatures w14:val="none"/>
    </w:rPr>
  </w:style>
  <w:style w:type="paragraph" w:customStyle="1" w:styleId="CaptionFigure">
    <w:name w:val="Caption Figure"/>
    <w:pPr>
      <w:spacing w:before="120" w:after="0"/>
      <w:jc w:val="center"/>
    </w:pPr>
    <w:rPr>
      <w:color w:val="404040"/>
      <w:sz w:val="18"/>
    </w:rPr>
  </w:style>
  <w:style w:type="paragraph" w:customStyle="1" w:styleId="CaptionTable">
    <w:name w:val="Caption Table"/>
    <w:pPr>
      <w:spacing w:before="0" w:after="120"/>
      <w:jc w:val="center"/>
    </w:pPr>
    <w:rPr>
      <w:color w:val="40404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50084">
      <w:bodyDiv w:val="1"/>
      <w:marLeft w:val="0"/>
      <w:marRight w:val="0"/>
      <w:marTop w:val="0"/>
      <w:marBottom w:val="0"/>
      <w:divBdr>
        <w:top w:val="none" w:sz="0" w:space="0" w:color="auto"/>
        <w:left w:val="none" w:sz="0" w:space="0" w:color="auto"/>
        <w:bottom w:val="none" w:sz="0" w:space="0" w:color="auto"/>
        <w:right w:val="none" w:sz="0" w:space="0" w:color="auto"/>
      </w:divBdr>
    </w:div>
    <w:div w:id="188685123">
      <w:bodyDiv w:val="1"/>
      <w:marLeft w:val="0"/>
      <w:marRight w:val="0"/>
      <w:marTop w:val="0"/>
      <w:marBottom w:val="0"/>
      <w:divBdr>
        <w:top w:val="none" w:sz="0" w:space="0" w:color="auto"/>
        <w:left w:val="none" w:sz="0" w:space="0" w:color="auto"/>
        <w:bottom w:val="none" w:sz="0" w:space="0" w:color="auto"/>
        <w:right w:val="none" w:sz="0" w:space="0" w:color="auto"/>
      </w:divBdr>
    </w:div>
    <w:div w:id="231015324">
      <w:bodyDiv w:val="1"/>
      <w:marLeft w:val="0"/>
      <w:marRight w:val="0"/>
      <w:marTop w:val="0"/>
      <w:marBottom w:val="0"/>
      <w:divBdr>
        <w:top w:val="none" w:sz="0" w:space="0" w:color="auto"/>
        <w:left w:val="none" w:sz="0" w:space="0" w:color="auto"/>
        <w:bottom w:val="none" w:sz="0" w:space="0" w:color="auto"/>
        <w:right w:val="none" w:sz="0" w:space="0" w:color="auto"/>
      </w:divBdr>
    </w:div>
    <w:div w:id="246427746">
      <w:bodyDiv w:val="1"/>
      <w:marLeft w:val="0"/>
      <w:marRight w:val="0"/>
      <w:marTop w:val="0"/>
      <w:marBottom w:val="0"/>
      <w:divBdr>
        <w:top w:val="none" w:sz="0" w:space="0" w:color="auto"/>
        <w:left w:val="none" w:sz="0" w:space="0" w:color="auto"/>
        <w:bottom w:val="none" w:sz="0" w:space="0" w:color="auto"/>
        <w:right w:val="none" w:sz="0" w:space="0" w:color="auto"/>
      </w:divBdr>
    </w:div>
    <w:div w:id="617026418">
      <w:bodyDiv w:val="1"/>
      <w:marLeft w:val="0"/>
      <w:marRight w:val="0"/>
      <w:marTop w:val="0"/>
      <w:marBottom w:val="0"/>
      <w:divBdr>
        <w:top w:val="none" w:sz="0" w:space="0" w:color="auto"/>
        <w:left w:val="none" w:sz="0" w:space="0" w:color="auto"/>
        <w:bottom w:val="none" w:sz="0" w:space="0" w:color="auto"/>
        <w:right w:val="none" w:sz="0" w:space="0" w:color="auto"/>
      </w:divBdr>
    </w:div>
    <w:div w:id="1088624912">
      <w:bodyDiv w:val="1"/>
      <w:marLeft w:val="0"/>
      <w:marRight w:val="0"/>
      <w:marTop w:val="0"/>
      <w:marBottom w:val="0"/>
      <w:divBdr>
        <w:top w:val="none" w:sz="0" w:space="0" w:color="auto"/>
        <w:left w:val="none" w:sz="0" w:space="0" w:color="auto"/>
        <w:bottom w:val="none" w:sz="0" w:space="0" w:color="auto"/>
        <w:right w:val="none" w:sz="0" w:space="0" w:color="auto"/>
      </w:divBdr>
    </w:div>
    <w:div w:id="1375736295">
      <w:bodyDiv w:val="1"/>
      <w:marLeft w:val="0"/>
      <w:marRight w:val="0"/>
      <w:marTop w:val="0"/>
      <w:marBottom w:val="0"/>
      <w:divBdr>
        <w:top w:val="none" w:sz="0" w:space="0" w:color="auto"/>
        <w:left w:val="none" w:sz="0" w:space="0" w:color="auto"/>
        <w:bottom w:val="none" w:sz="0" w:space="0" w:color="auto"/>
        <w:right w:val="none" w:sz="0" w:space="0" w:color="auto"/>
      </w:divBdr>
      <w:divsChild>
        <w:div w:id="1355379762">
          <w:marLeft w:val="0"/>
          <w:marRight w:val="0"/>
          <w:marTop w:val="0"/>
          <w:marBottom w:val="0"/>
          <w:divBdr>
            <w:top w:val="none" w:sz="0" w:space="0" w:color="auto"/>
            <w:left w:val="none" w:sz="0" w:space="0" w:color="auto"/>
            <w:bottom w:val="none" w:sz="0" w:space="0" w:color="auto"/>
            <w:right w:val="none" w:sz="0" w:space="0" w:color="auto"/>
          </w:divBdr>
        </w:div>
      </w:divsChild>
    </w:div>
    <w:div w:id="1441140708">
      <w:bodyDiv w:val="1"/>
      <w:marLeft w:val="0"/>
      <w:marRight w:val="0"/>
      <w:marTop w:val="0"/>
      <w:marBottom w:val="0"/>
      <w:divBdr>
        <w:top w:val="none" w:sz="0" w:space="0" w:color="auto"/>
        <w:left w:val="none" w:sz="0" w:space="0" w:color="auto"/>
        <w:bottom w:val="none" w:sz="0" w:space="0" w:color="auto"/>
        <w:right w:val="none" w:sz="0" w:space="0" w:color="auto"/>
      </w:divBdr>
    </w:div>
    <w:div w:id="1534078131">
      <w:bodyDiv w:val="1"/>
      <w:marLeft w:val="0"/>
      <w:marRight w:val="0"/>
      <w:marTop w:val="0"/>
      <w:marBottom w:val="0"/>
      <w:divBdr>
        <w:top w:val="none" w:sz="0" w:space="0" w:color="auto"/>
        <w:left w:val="none" w:sz="0" w:space="0" w:color="auto"/>
        <w:bottom w:val="none" w:sz="0" w:space="0" w:color="auto"/>
        <w:right w:val="none" w:sz="0" w:space="0" w:color="auto"/>
      </w:divBdr>
    </w:div>
    <w:div w:id="1772699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5" Type="http://schemas.openxmlformats.org/officeDocument/2006/relationships/settings" Target="settings.xml"/><Relationship Id="rId8" Type="http://schemas.openxmlformats.org/officeDocument/2006/relationships/endnotes" Target="endnotes.xml"/><Relationship Id="rId3" Type="http://schemas.openxmlformats.org/officeDocument/2006/relationships/numbering" Target="numbering.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0" Type="http://schemas.openxmlformats.org/officeDocument/2006/relationships/footer" Target="footer2.xm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64" Type="http://schemas.openxmlformats.org/officeDocument/2006/relationships/footer" Target="footer4.xml"/><Relationship Id="rId65" Type="http://schemas.openxmlformats.org/officeDocument/2006/relationships/footer" Target="footer5.xml"/><Relationship Id="rId66" Type="http://schemas.openxmlformats.org/officeDocument/2006/relationships/comments" Target="comments.xml"/><Relationship Id="rId67" Type="http://schemas.openxmlformats.org/officeDocument/2006/relationships/image" Target="media/image49.png"/><Relationship Id="rId68" Type="http://schemas.openxmlformats.org/officeDocument/2006/relationships/image" Target="media/image50.png"/><Relationship Id="rId69" Type="http://schemas.openxmlformats.org/officeDocument/2006/relationships/image" Target="media/image51.png"/><Relationship Id="rId70" Type="http://schemas.openxmlformats.org/officeDocument/2006/relationships/image" Target="media/image52.png"/><Relationship Id="rId71" Type="http://schemas.openxmlformats.org/officeDocument/2006/relationships/image" Target="media/image53.png"/><Relationship Id="rId72" Type="http://schemas.openxmlformats.org/officeDocument/2006/relationships/image" Target="media/image54.png"/><Relationship Id="rId73" Type="http://schemas.openxmlformats.org/officeDocument/2006/relationships/image" Target="media/image55.png"/><Relationship Id="rId74" Type="http://schemas.openxmlformats.org/officeDocument/2006/relationships/image" Target="media/image56.png"/><Relationship Id="rId75" Type="http://schemas.openxmlformats.org/officeDocument/2006/relationships/image" Target="media/image57.png"/><Relationship Id="rId76" Type="http://schemas.openxmlformats.org/officeDocument/2006/relationships/image" Target="media/image58.png"/><Relationship Id="rId77" Type="http://schemas.openxmlformats.org/officeDocument/2006/relationships/image" Target="media/image59.png"/><Relationship Id="rId78" Type="http://schemas.openxmlformats.org/officeDocument/2006/relationships/image" Target="media/image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377A76-EE39-424B-9D46-36FB5273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6309</Words>
  <Characters>35962</Characters>
  <Application>Microsoft Office Word</Application>
  <DocSecurity>0</DocSecurity>
  <Lines>299</Lines>
  <Paragraphs>84</Paragraphs>
  <ScaleCrop>false</ScaleCrop>
  <Company>正泰电器</Company>
  <LinksUpToDate>false</LinksUpToDate>
  <CharactersWithSpaces>42187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2025年度可持续发展报告</dc:title>
  <dc:creator>lie Yang</dc:creator>
  <cp:lastModifiedBy>Dexter Yao</cp:lastModifiedBy>
  <cp:revision>2</cp:revision>
  <cp:lastPrinted>2026-03-20T08:33:00Z</cp:lastPrinted>
  <dcterms:created xsi:type="dcterms:W3CDTF">2026-06-27T12:59:00Z</dcterms:created>
  <dcterms:modified xsi:type="dcterms:W3CDTF">2026-06-27T12:59:00Z</dcterms:modified>
  <dc:description>AIGC;绿石科技（GreenStone AI）;晟原精密电子股份有限公司-2025</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eyJoZGlkIjoiOWUwOWY1OThjOTBmY2I1M2U5OGEyOWE4OWU3MTI0MDIiLCJ1c2VySWQiOiIyNjcyMTI3MDcifQ==</vt:lpwstr>
  </property>
  <property fmtid="{D5CDD505-2E9C-101B-9397-08002B2CF9AE}" pid="3" name="KSOProductBuildVer">
    <vt:lpwstr>2052-12.1.0.25865</vt:lpwstr>
  </property>
  <property fmtid="{D5CDD505-2E9C-101B-9397-08002B2CF9AE}" pid="4" name="ICV">
    <vt:lpwstr>AED4D62B55ED4098B70FB7EEE1E79849_12</vt:lpwstr>
  </property>
</Properties>
</file>